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334" w:rsidRDefault="00A8296A" w:rsidP="00A8296A">
      <w:pPr>
        <w:pStyle w:val="CAP1"/>
        <w:tabs>
          <w:tab w:val="center" w:pos="4677"/>
          <w:tab w:val="right" w:pos="9355"/>
        </w:tabs>
        <w:spacing w:before="10772" w:after="120"/>
      </w:pPr>
      <w:bookmarkStart w:id="0" w:name="_Toc69229362"/>
      <w:bookmarkStart w:id="1" w:name="_Toc69789075"/>
      <w:bookmarkStart w:id="2" w:name="_Toc69793484"/>
      <w:bookmarkStart w:id="3" w:name="_Toc69802698"/>
      <w:bookmarkStart w:id="4" w:name="_Toc69802821"/>
      <w:bookmarkStart w:id="5" w:name="_Toc69878668"/>
      <w:bookmarkStart w:id="6" w:name="_Toc70136404"/>
      <w:bookmarkStart w:id="7" w:name="_Toc43645870"/>
      <w:bookmarkStart w:id="8" w:name="_Toc44487591"/>
      <w:bookmarkStart w:id="9" w:name="_Toc44487637"/>
      <w:bookmarkStart w:id="10" w:name="_Toc53229612"/>
      <w:bookmarkStart w:id="11" w:name="_Toc53293399"/>
      <w:bookmarkStart w:id="12" w:name="_Toc53299835"/>
      <w:bookmarkStart w:id="13" w:name="_Toc53315426"/>
      <w:bookmarkStart w:id="14" w:name="_Toc56836742"/>
      <w:bookmarkStart w:id="15" w:name="_Toc56838942"/>
      <w:bookmarkStart w:id="16" w:name="_Toc61669618"/>
      <w:bookmarkStart w:id="17" w:name="_Toc61669702"/>
      <w:bookmarkStart w:id="18" w:name="_Toc61670667"/>
      <w:bookmarkStart w:id="19" w:name="_Toc61673121"/>
      <w:bookmarkStart w:id="20" w:name="_Toc61937043"/>
      <w:bookmarkStart w:id="21" w:name="_Toc61937068"/>
      <w:bookmarkStart w:id="22" w:name="_Toc62539650"/>
      <w:bookmarkStart w:id="23" w:name="_Toc62540902"/>
      <w:bookmarkStart w:id="24" w:name="_Toc62626127"/>
      <w:bookmarkStart w:id="25" w:name="_Toc68073136"/>
      <w:bookmarkStart w:id="26" w:name="_Toc69108876"/>
      <w:bookmarkStart w:id="27" w:name="_Toc69229334"/>
      <w:bookmarkStart w:id="28" w:name="_Toc69789047"/>
      <w:bookmarkStart w:id="29" w:name="_Toc69793463"/>
      <w:bookmarkStart w:id="30" w:name="_Toc69802678"/>
      <w:bookmarkStart w:id="31" w:name="_Toc69802802"/>
      <w:bookmarkStart w:id="32" w:name="_Toc69878649"/>
      <w:bookmarkStart w:id="33" w:name="_Toc70136385"/>
      <w:bookmarkStart w:id="34" w:name="_Toc71704832"/>
      <w:bookmarkStart w:id="35" w:name="_Toc71713737"/>
      <w:bookmarkStart w:id="36" w:name="_Toc71714543"/>
      <w:bookmarkStart w:id="37" w:name="_Toc72669989"/>
      <w:bookmarkStart w:id="38" w:name="_Toc72670050"/>
      <w:bookmarkStart w:id="39" w:name="_Toc73160093"/>
      <w:bookmarkStart w:id="40" w:name="_Toc73160152"/>
      <w:bookmarkStart w:id="41" w:name="_Toc73171023"/>
      <w:bookmarkStart w:id="42" w:name="_Toc73242751"/>
      <w:bookmarkStart w:id="43" w:name="_Toc73244637"/>
      <w:bookmarkStart w:id="44" w:name="_Toc73275987"/>
      <w:bookmarkStart w:id="45" w:name="_Toc73276577"/>
      <w:bookmarkStart w:id="46" w:name="_Toc74624682"/>
      <w:bookmarkStart w:id="47" w:name="_Toc74626065"/>
      <w:bookmarkStart w:id="48" w:name="_Toc77440869"/>
      <w:bookmarkStart w:id="49" w:name="_Toc77442502"/>
      <w:bookmarkStart w:id="50" w:name="_Toc78526350"/>
      <w:bookmarkStart w:id="51" w:name="_Toc78886257"/>
      <w:bookmarkStart w:id="52" w:name="_Toc78886557"/>
      <w:bookmarkStart w:id="53" w:name="_Toc91163391"/>
      <w:bookmarkStart w:id="54" w:name="_Toc91261776"/>
      <w:bookmarkStart w:id="55" w:name="_Toc91264005"/>
      <w:bookmarkStart w:id="56" w:name="_Toc106424877"/>
      <w:bookmarkStart w:id="57" w:name="_Toc107717889"/>
      <w:bookmarkStart w:id="58" w:name="_Toc117059908"/>
      <w:bookmarkStart w:id="59" w:name="_Toc117060045"/>
      <w:bookmarkStart w:id="60" w:name="_Toc117061211"/>
      <w:bookmarkStart w:id="61" w:name="_Toc117062436"/>
      <w:bookmarkStart w:id="62" w:name="_Toc117063095"/>
      <w:bookmarkStart w:id="63" w:name="_Toc120361465"/>
      <w:bookmarkStart w:id="64" w:name="_Toc120362273"/>
      <w:bookmarkStart w:id="65" w:name="_Toc120515252"/>
      <w:bookmarkStart w:id="66" w:name="_Toc121220543"/>
      <w:bookmarkStart w:id="67" w:name="_Toc137446103"/>
      <w:bookmarkStart w:id="68" w:name="_Toc137612252"/>
      <w:bookmarkStart w:id="69" w:name="_Toc141015587"/>
      <w:bookmarkStart w:id="70" w:name="_Toc141018240"/>
      <w:bookmarkStart w:id="71" w:name="_Toc141097938"/>
      <w:bookmarkStart w:id="72" w:name="_Toc147044373"/>
      <w:bookmarkStart w:id="73" w:name="_Toc147055187"/>
      <w:bookmarkStart w:id="74" w:name="_Toc147127582"/>
      <w:bookmarkStart w:id="75" w:name="_Toc56836741"/>
      <w:bookmarkStart w:id="76" w:name="_Toc56838941"/>
      <w:bookmarkStart w:id="77" w:name="_Toc61669617"/>
      <w:bookmarkStart w:id="78" w:name="_Toc61669701"/>
      <w:bookmarkStart w:id="79" w:name="_Toc61670666"/>
      <w:bookmarkStart w:id="80" w:name="_Toc61673120"/>
      <w:bookmarkStart w:id="81" w:name="_Toc61937042"/>
      <w:bookmarkStart w:id="82" w:name="_Toc61937067"/>
      <w:bookmarkStart w:id="83" w:name="_Toc62539649"/>
      <w:bookmarkStart w:id="84" w:name="_Toc62540901"/>
      <w:bookmarkStart w:id="85" w:name="_Toc62626126"/>
      <w:bookmarkStart w:id="86" w:name="_Toc68073135"/>
      <w:bookmarkStart w:id="87" w:name="_Toc69108875"/>
      <w:bookmarkStart w:id="88" w:name="_Toc69229333"/>
      <w:bookmarkStart w:id="89" w:name="_Toc69789046"/>
      <w:bookmarkStart w:id="90" w:name="_Toc69793462"/>
      <w:bookmarkStart w:id="91" w:name="_Toc69802677"/>
      <w:bookmarkStart w:id="92" w:name="_Toc69802801"/>
      <w:bookmarkStart w:id="93" w:name="_Toc69878648"/>
      <w:bookmarkStart w:id="94" w:name="_Toc70136384"/>
      <w:bookmarkStart w:id="95" w:name="_Toc71704831"/>
      <w:bookmarkStart w:id="96" w:name="_Toc71713736"/>
      <w:bookmarkStart w:id="97" w:name="_Toc71714542"/>
      <w:bookmarkStart w:id="98" w:name="_Toc72669988"/>
      <w:bookmarkStart w:id="99" w:name="_Toc72670049"/>
      <w:bookmarkStart w:id="100" w:name="_Toc73160092"/>
      <w:bookmarkStart w:id="101" w:name="_Toc73160151"/>
      <w:bookmarkStart w:id="102" w:name="_Toc73171022"/>
      <w:bookmarkStart w:id="103" w:name="_Toc73242750"/>
      <w:bookmarkStart w:id="104" w:name="_Toc73244636"/>
      <w:bookmarkStart w:id="105" w:name="_Toc73275986"/>
      <w:bookmarkStart w:id="106" w:name="_Toc73276576"/>
      <w:bookmarkStart w:id="107" w:name="_Toc74624681"/>
      <w:bookmarkStart w:id="108" w:name="_Toc74626064"/>
      <w:bookmarkStart w:id="109" w:name="_Toc77440868"/>
      <w:bookmarkStart w:id="110" w:name="_Toc77442501"/>
      <w:bookmarkStart w:id="111" w:name="_Toc78526349"/>
      <w:bookmarkStart w:id="112" w:name="_Toc78886256"/>
      <w:bookmarkStart w:id="113" w:name="_Toc78886556"/>
      <w:bookmarkStart w:id="114" w:name="_Toc91163390"/>
      <w:bookmarkStart w:id="115" w:name="_Toc91261775"/>
      <w:bookmarkStart w:id="116" w:name="_Toc91264004"/>
      <w:bookmarkStart w:id="117" w:name="_Toc106424876"/>
      <w:bookmarkStart w:id="118" w:name="_Toc107717888"/>
      <w:bookmarkStart w:id="119" w:name="_Toc117059907"/>
      <w:bookmarkStart w:id="120" w:name="_Toc117060044"/>
      <w:bookmarkStart w:id="121" w:name="_Toc117061210"/>
      <w:bookmarkStart w:id="122" w:name="_Toc117062435"/>
      <w:bookmarkStart w:id="123" w:name="_Toc117063094"/>
      <w:bookmarkStart w:id="124" w:name="_Toc120361464"/>
      <w:bookmarkStart w:id="125" w:name="_Toc120362272"/>
      <w:bookmarkStart w:id="126" w:name="_Toc120515251"/>
      <w:bookmarkStart w:id="127" w:name="_Toc121220542"/>
      <w:bookmarkStart w:id="128" w:name="_Toc137446102"/>
      <w:bookmarkStart w:id="129" w:name="_Toc137612251"/>
      <w:bookmarkStart w:id="130" w:name="_Toc141015586"/>
      <w:bookmarkStart w:id="131" w:name="_Toc141018239"/>
      <w:bookmarkStart w:id="132" w:name="_Toc141097937"/>
      <w:bookmarkStart w:id="133" w:name="_Toc147044372"/>
      <w:bookmarkStart w:id="134" w:name="_Toc147055186"/>
      <w:bookmarkStart w:id="135" w:name="_Toc147127581"/>
      <w:bookmarkStart w:id="136" w:name="_Toc152821749"/>
      <w:bookmarkStart w:id="137" w:name="_Toc152933154"/>
      <w:bookmarkStart w:id="138" w:name="_Toc152939539"/>
      <w:bookmarkStart w:id="139" w:name="_Toc152940528"/>
      <w:bookmarkStart w:id="140" w:name="_Toc152940720"/>
      <w:bookmarkStart w:id="141" w:name="_Toc152940902"/>
      <w:bookmarkStart w:id="142" w:name="_Toc152940975"/>
      <w:bookmarkStart w:id="143" w:name="_Toc152941039"/>
      <w:bookmarkStart w:id="144" w:name="_Toc152941205"/>
      <w:bookmarkStart w:id="145" w:name="_Toc153023451"/>
      <w:bookmarkStart w:id="146" w:name="_Toc153024562"/>
      <w:bookmarkStart w:id="147" w:name="_Toc153026961"/>
      <w:bookmarkStart w:id="148" w:name="_Toc168202595"/>
      <w:bookmarkStart w:id="149" w:name="_Toc72669950"/>
      <w:bookmarkStart w:id="150" w:name="_Toc72670011"/>
      <w:bookmarkStart w:id="151" w:name="_Toc73160054"/>
      <w:bookmarkStart w:id="152" w:name="_Toc73160113"/>
      <w:bookmarkStart w:id="153" w:name="_Toc73170984"/>
      <w:bookmarkStart w:id="154" w:name="_Toc73242713"/>
      <w:bookmarkStart w:id="155" w:name="_Toc73244599"/>
      <w:bookmarkStart w:id="156" w:name="_Toc73275948"/>
      <w:bookmarkStart w:id="157" w:name="_Toc73276534"/>
      <w:bookmarkStart w:id="158" w:name="_Toc74624639"/>
      <w:bookmarkStart w:id="159" w:name="_Toc74626022"/>
      <w:bookmarkStart w:id="160" w:name="_Toc77440826"/>
      <w:bookmarkStart w:id="161" w:name="_Toc77442459"/>
      <w:bookmarkStart w:id="162" w:name="_Toc78526307"/>
      <w:bookmarkStart w:id="163" w:name="_Toc78886214"/>
      <w:bookmarkStart w:id="164" w:name="_Toc78886514"/>
      <w:bookmarkStart w:id="165" w:name="_Toc91163348"/>
      <w:bookmarkStart w:id="166" w:name="_Toc91261733"/>
      <w:bookmarkStart w:id="167" w:name="_Toc91263962"/>
      <w:bookmarkStart w:id="168" w:name="_Toc106424834"/>
      <w:bookmarkStart w:id="169" w:name="_Toc107717846"/>
      <w:bookmarkStart w:id="170" w:name="_Toc117059832"/>
      <w:bookmarkStart w:id="171" w:name="_Toc117059969"/>
      <w:bookmarkStart w:id="172" w:name="_Toc117061135"/>
      <w:bookmarkStart w:id="173" w:name="_Toc117062352"/>
      <w:bookmarkStart w:id="174" w:name="_Toc117063011"/>
      <w:bookmarkStart w:id="175" w:name="_Toc120361381"/>
      <w:bookmarkStart w:id="176" w:name="_Toc120362189"/>
      <w:bookmarkStart w:id="177" w:name="_Toc120515169"/>
      <w:bookmarkStart w:id="178" w:name="_Toc121220461"/>
      <w:bookmarkStart w:id="179" w:name="_Toc137446026"/>
      <w:bookmarkStart w:id="180" w:name="_Toc137612174"/>
      <w:bookmarkStart w:id="181" w:name="_Toc141015509"/>
      <w:bookmarkStart w:id="182" w:name="_Toc141018162"/>
      <w:bookmarkStart w:id="183" w:name="_Toc141097861"/>
      <w:bookmarkStart w:id="184" w:name="_Toc147044296"/>
      <w:bookmarkStart w:id="185" w:name="_Toc147055113"/>
      <w:bookmarkStart w:id="186" w:name="_Toc147127504"/>
      <w:bookmarkStart w:id="187" w:name="_Toc152592306"/>
      <w:bookmarkStart w:id="188" w:name="_Toc152592708"/>
      <w:bookmarkStart w:id="189" w:name="_Toc152932730"/>
      <w:bookmarkStart w:id="190" w:name="_Toc56836740"/>
      <w:bookmarkStart w:id="191" w:name="_Toc56838940"/>
      <w:bookmarkStart w:id="192" w:name="_Toc61669616"/>
      <w:bookmarkStart w:id="193" w:name="_Toc61669700"/>
      <w:bookmarkStart w:id="194" w:name="_Toc61670664"/>
      <w:bookmarkStart w:id="195" w:name="_Toc61673118"/>
      <w:bookmarkStart w:id="196" w:name="_Toc61937040"/>
      <w:bookmarkStart w:id="197" w:name="_Toc61937065"/>
      <w:bookmarkStart w:id="198" w:name="_Toc62539647"/>
      <w:bookmarkStart w:id="199" w:name="_Toc62540899"/>
      <w:bookmarkStart w:id="200" w:name="_Toc62626124"/>
      <w:bookmarkStart w:id="201" w:name="_Toc68073122"/>
      <w:bookmarkStart w:id="202" w:name="_Toc69108862"/>
      <w:bookmarkStart w:id="203" w:name="_Toc69229320"/>
      <w:bookmarkStart w:id="204" w:name="_Toc69789033"/>
      <w:bookmarkStart w:id="205" w:name="_Toc69793449"/>
      <w:bookmarkStart w:id="206" w:name="_Toc69802664"/>
      <w:bookmarkStart w:id="207" w:name="_Toc69802788"/>
      <w:bookmarkStart w:id="208" w:name="_Toc69878635"/>
      <w:bookmarkStart w:id="209" w:name="_Toc70136371"/>
      <w:bookmarkStart w:id="210" w:name="_Toc71704804"/>
      <w:bookmarkStart w:id="211" w:name="_Toc71713709"/>
      <w:bookmarkStart w:id="212" w:name="_Toc71714515"/>
      <w:r>
        <w:tab/>
      </w:r>
      <w:bookmarkStart w:id="213" w:name="_GoBack"/>
      <w:bookmarkEnd w:id="213"/>
      <w:r w:rsidR="00331334">
        <w:t xml:space="preserve">E2 </w:t>
      </w:r>
      <w:r w:rsidR="00331334">
        <w:tab/>
        <w:t>SI SEGURIDAD INCENDIOS</w:t>
      </w:r>
    </w:p>
    <w:p w:rsidR="00331334" w:rsidRDefault="00331334" w:rsidP="00A568FD">
      <w:pPr>
        <w:ind w:firstLine="709"/>
      </w:pPr>
    </w:p>
    <w:p w:rsidR="00331334" w:rsidRDefault="00331334" w:rsidP="00A568FD">
      <w:pPr>
        <w:ind w:firstLine="709"/>
      </w:pPr>
    </w:p>
    <w:p w:rsidR="00331334" w:rsidRDefault="00331334" w:rsidP="00A568FD">
      <w:pPr>
        <w:ind w:firstLine="709"/>
      </w:pPr>
    </w:p>
    <w:p w:rsidR="00331334" w:rsidRDefault="00331334" w:rsidP="00A568FD">
      <w:pPr>
        <w:ind w:firstLine="709"/>
      </w:pPr>
    </w:p>
    <w:p w:rsidR="00331334" w:rsidRDefault="00331334" w:rsidP="00A568FD">
      <w:pPr>
        <w:ind w:firstLine="709"/>
      </w:pPr>
    </w:p>
    <w:p w:rsidR="00331334" w:rsidRDefault="00331334" w:rsidP="00A568FD">
      <w:pPr>
        <w:ind w:firstLine="709"/>
      </w:pPr>
    </w:p>
    <w:p w:rsidR="00331334" w:rsidRDefault="00331334" w:rsidP="00A568FD">
      <w:pPr>
        <w:ind w:firstLine="709"/>
      </w:pPr>
    </w:p>
    <w:p w:rsidR="00331334" w:rsidRDefault="00331334" w:rsidP="00A568FD">
      <w:pPr>
        <w:ind w:firstLine="709"/>
      </w:pPr>
    </w:p>
    <w:p w:rsidR="00331334" w:rsidRPr="00E95FAD" w:rsidRDefault="00331334" w:rsidP="00A568FD">
      <w:pPr>
        <w:ind w:firstLine="709"/>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lastRenderedPageBreak/>
        <w:t>1.- COMPARTIMENTACIÓN EN SECTORES DE INCENDIO</w:t>
      </w:r>
      <w:bookmarkStart w:id="214" w:name="REF_HTML:_RC_:1"/>
      <w:bookmarkEnd w:id="214"/>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Las distintas zonas del edificio se agrupan en sectores de incendio, en las condiciones que se establecen en la tabla 1.1 (CTE DB SI 1 Propagación interior), que se compartimentan mediante elementos cuya resistencia al fuego satisface las condiciones establecidas en la tabla 1.2 (CTE DB SI 1 Propagación interior).</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A efectos del cómputo de la superficie de un sector de incendio, se considera que los locales de riesgo especial, las escaleras y pasillos protegidos, los vestíbulos de independencia y las escaleras compartimentadas como sector de incendios, que estén contenidos en dicho sector no forman parte del mismo.</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 xml:space="preserve">El uso principal del edificio es Docente y se desarrolla en </w:t>
      </w:r>
      <w:r w:rsidR="00AC27E4">
        <w:rPr>
          <w:rFonts w:ascii="Verdana" w:hAnsi="Verdana" w:cs="Verdana"/>
          <w:color w:val="000000"/>
          <w:sz w:val="18"/>
          <w:szCs w:val="18"/>
        </w:rPr>
        <w:t>dos sectores ampliados por la fase proyectada</w:t>
      </w:r>
      <w:r>
        <w:rPr>
          <w:rFonts w:ascii="Verdana" w:hAnsi="Verdana" w:cs="Verdana"/>
          <w:color w:val="000000"/>
          <w:sz w:val="18"/>
          <w:szCs w:val="18"/>
        </w:rPr>
        <w:t>.</w:t>
      </w:r>
    </w:p>
    <w:p w:rsidR="009E5A65" w:rsidRDefault="009E5A65" w:rsidP="00C372F9">
      <w:pPr>
        <w:widowControl w:val="0"/>
        <w:autoSpaceDE w:val="0"/>
        <w:autoSpaceDN w:val="0"/>
        <w:adjustRightInd w:val="0"/>
        <w:rPr>
          <w:rFonts w:ascii="Verdana" w:hAnsi="Verdana" w:cs="Verdana"/>
          <w:color w:val="000000"/>
          <w:sz w:val="18"/>
          <w:szCs w:val="18"/>
        </w:rPr>
      </w:pPr>
    </w:p>
    <w:p w:rsidR="009E5A65" w:rsidRDefault="009E5A65"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En total (superficies de edificación sumando la ampliación anterior y la presente) tenemos que:</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p>
    <w:tbl>
      <w:tblPr>
        <w:tblW w:w="9808" w:type="dxa"/>
        <w:tblInd w:w="23" w:type="dxa"/>
        <w:tblLayout w:type="fixed"/>
        <w:tblCellMar>
          <w:top w:w="28" w:type="dxa"/>
          <w:left w:w="0" w:type="dxa"/>
          <w:bottom w:w="28" w:type="dxa"/>
          <w:right w:w="0" w:type="dxa"/>
        </w:tblCellMar>
        <w:tblLook w:val="0000"/>
      </w:tblPr>
      <w:tblGrid>
        <w:gridCol w:w="1622"/>
        <w:gridCol w:w="919"/>
        <w:gridCol w:w="1099"/>
        <w:gridCol w:w="1644"/>
        <w:gridCol w:w="1037"/>
        <w:gridCol w:w="1214"/>
        <w:gridCol w:w="1174"/>
        <w:gridCol w:w="1099"/>
      </w:tblGrid>
      <w:tr w:rsidR="00C372F9" w:rsidRPr="00AC4AB8" w:rsidTr="00AC27E4">
        <w:trPr>
          <w:trHeight w:hRule="exact" w:val="253"/>
        </w:trPr>
        <w:tc>
          <w:tcPr>
            <w:tcW w:w="9808" w:type="dxa"/>
            <w:gridSpan w:val="8"/>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b/>
                <w:bCs/>
                <w:color w:val="000000"/>
                <w:sz w:val="18"/>
                <w:szCs w:val="18"/>
              </w:rPr>
              <w:t>Sectores de incendio</w:t>
            </w:r>
          </w:p>
        </w:tc>
      </w:tr>
      <w:tr w:rsidR="00C372F9" w:rsidRPr="00AC4AB8" w:rsidTr="00AC27E4">
        <w:trPr>
          <w:trHeight w:hRule="exact" w:val="471"/>
        </w:trPr>
        <w:tc>
          <w:tcPr>
            <w:tcW w:w="1622"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Sector</w:t>
            </w:r>
          </w:p>
        </w:tc>
        <w:tc>
          <w:tcPr>
            <w:tcW w:w="2018" w:type="dxa"/>
            <w:gridSpan w:val="2"/>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Sup. construida(m²)</w:t>
            </w:r>
          </w:p>
        </w:tc>
        <w:tc>
          <w:tcPr>
            <w:tcW w:w="1644"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Uso previsto </w:t>
            </w:r>
            <w:r w:rsidRPr="00AC4AB8">
              <w:rPr>
                <w:rFonts w:ascii="Verdana" w:eastAsiaTheme="minorEastAsia" w:hAnsi="Verdana" w:cs="Verdana"/>
                <w:color w:val="000000"/>
                <w:sz w:val="18"/>
                <w:szCs w:val="18"/>
                <w:vertAlign w:val="superscript"/>
              </w:rPr>
              <w:t>(1)</w:t>
            </w:r>
          </w:p>
        </w:tc>
        <w:tc>
          <w:tcPr>
            <w:tcW w:w="4524" w:type="dxa"/>
            <w:gridSpan w:val="4"/>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Resistencia al fuego del elemento compartimentador </w:t>
            </w:r>
            <w:r w:rsidRPr="00AC4AB8">
              <w:rPr>
                <w:rFonts w:ascii="Verdana" w:eastAsiaTheme="minorEastAsia" w:hAnsi="Verdana" w:cs="Verdana"/>
                <w:color w:val="000000"/>
                <w:sz w:val="18"/>
                <w:szCs w:val="18"/>
                <w:vertAlign w:val="superscript"/>
              </w:rPr>
              <w:t>(2)</w:t>
            </w:r>
          </w:p>
        </w:tc>
      </w:tr>
      <w:tr w:rsidR="00C372F9" w:rsidRPr="00AC4AB8" w:rsidTr="00AC27E4">
        <w:trPr>
          <w:trHeight w:hRule="exact" w:val="253"/>
        </w:trPr>
        <w:tc>
          <w:tcPr>
            <w:tcW w:w="1622" w:type="dxa"/>
            <w:vMerge/>
            <w:tcBorders>
              <w:top w:val="nil"/>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2018" w:type="dxa"/>
            <w:gridSpan w:val="2"/>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1644" w:type="dxa"/>
            <w:vMerge/>
            <w:tcBorders>
              <w:top w:val="nil"/>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2251"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Paredes y techos </w:t>
            </w:r>
            <w:r w:rsidRPr="00AC4AB8">
              <w:rPr>
                <w:rFonts w:ascii="Verdana" w:eastAsiaTheme="minorEastAsia" w:hAnsi="Verdana" w:cs="Verdana"/>
                <w:color w:val="000000"/>
                <w:sz w:val="18"/>
                <w:szCs w:val="18"/>
                <w:vertAlign w:val="superscript"/>
              </w:rPr>
              <w:t>(3)</w:t>
            </w:r>
          </w:p>
        </w:tc>
        <w:tc>
          <w:tcPr>
            <w:tcW w:w="2273"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Puertas</w:t>
            </w:r>
          </w:p>
        </w:tc>
      </w:tr>
      <w:tr w:rsidR="00C372F9" w:rsidRPr="00AC4AB8" w:rsidTr="00AC27E4">
        <w:trPr>
          <w:trHeight w:hRule="exact" w:val="253"/>
        </w:trPr>
        <w:tc>
          <w:tcPr>
            <w:tcW w:w="1622"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91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Norma</w:t>
            </w:r>
          </w:p>
        </w:tc>
        <w:tc>
          <w:tcPr>
            <w:tcW w:w="109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Proyecto</w:t>
            </w:r>
          </w:p>
        </w:tc>
        <w:tc>
          <w:tcPr>
            <w:tcW w:w="1644"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p>
        </w:tc>
        <w:tc>
          <w:tcPr>
            <w:tcW w:w="103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Norma</w:t>
            </w:r>
          </w:p>
        </w:tc>
        <w:tc>
          <w:tcPr>
            <w:tcW w:w="121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Proyecto</w:t>
            </w:r>
          </w:p>
        </w:tc>
        <w:tc>
          <w:tcPr>
            <w:tcW w:w="117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Norma</w:t>
            </w:r>
          </w:p>
        </w:tc>
        <w:tc>
          <w:tcPr>
            <w:tcW w:w="109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Proyecto</w:t>
            </w:r>
          </w:p>
        </w:tc>
      </w:tr>
      <w:tr w:rsidR="0030091B" w:rsidRPr="00AC4AB8" w:rsidTr="0030091B">
        <w:trPr>
          <w:trHeight w:hRule="exact" w:val="253"/>
        </w:trPr>
        <w:tc>
          <w:tcPr>
            <w:tcW w:w="162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30091B" w:rsidRPr="00AC4AB8" w:rsidRDefault="0030091B" w:rsidP="0030091B">
            <w:pPr>
              <w:widowControl w:val="0"/>
              <w:autoSpaceDE w:val="0"/>
              <w:autoSpaceDN w:val="0"/>
              <w:adjustRightInd w:val="0"/>
              <w:rPr>
                <w:rFonts w:ascii="Verdana" w:eastAsiaTheme="minorEastAsia" w:hAnsi="Verdana" w:cs="Verdana"/>
                <w:color w:val="000000"/>
                <w:sz w:val="18"/>
                <w:szCs w:val="18"/>
              </w:rPr>
            </w:pPr>
            <w:r>
              <w:rPr>
                <w:rFonts w:ascii="Verdana" w:eastAsiaTheme="minorEastAsia" w:hAnsi="Verdana" w:cs="Verdana"/>
                <w:color w:val="000000"/>
                <w:sz w:val="18"/>
                <w:szCs w:val="18"/>
              </w:rPr>
              <w:t>Ed. aulas</w:t>
            </w:r>
          </w:p>
        </w:tc>
        <w:tc>
          <w:tcPr>
            <w:tcW w:w="91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30091B" w:rsidRPr="00AC4AB8" w:rsidRDefault="0030091B" w:rsidP="0030091B">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4000</w:t>
            </w:r>
          </w:p>
        </w:tc>
        <w:tc>
          <w:tcPr>
            <w:tcW w:w="109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30091B" w:rsidRPr="00AC4AB8" w:rsidRDefault="00CD38B3" w:rsidP="0030091B">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3.271</w:t>
            </w:r>
          </w:p>
        </w:tc>
        <w:tc>
          <w:tcPr>
            <w:tcW w:w="164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30091B" w:rsidRPr="00AC4AB8" w:rsidRDefault="0030091B" w:rsidP="0030091B">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Aulas</w:t>
            </w:r>
          </w:p>
        </w:tc>
        <w:tc>
          <w:tcPr>
            <w:tcW w:w="103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30091B" w:rsidRPr="00AC4AB8" w:rsidRDefault="0030091B" w:rsidP="0030091B">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EI 60</w:t>
            </w:r>
          </w:p>
        </w:tc>
        <w:tc>
          <w:tcPr>
            <w:tcW w:w="121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30091B" w:rsidRPr="00AC4AB8" w:rsidRDefault="008D6697" w:rsidP="0030091B">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EI </w:t>
            </w:r>
            <w:r>
              <w:rPr>
                <w:rFonts w:ascii="Verdana" w:eastAsiaTheme="minorEastAsia" w:hAnsi="Verdana" w:cs="Verdana"/>
                <w:color w:val="000000"/>
                <w:sz w:val="18"/>
                <w:szCs w:val="18"/>
              </w:rPr>
              <w:t>9</w:t>
            </w:r>
            <w:r w:rsidRPr="00AC4AB8">
              <w:rPr>
                <w:rFonts w:ascii="Verdana" w:eastAsiaTheme="minorEastAsia" w:hAnsi="Verdana" w:cs="Verdana"/>
                <w:color w:val="000000"/>
                <w:sz w:val="18"/>
                <w:szCs w:val="18"/>
              </w:rPr>
              <w:t>0</w:t>
            </w:r>
          </w:p>
        </w:tc>
        <w:tc>
          <w:tcPr>
            <w:tcW w:w="117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30091B" w:rsidRPr="00AC4AB8" w:rsidRDefault="0030091B" w:rsidP="0030091B">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EI</w:t>
            </w:r>
            <w:r w:rsidRPr="00AC4AB8">
              <w:rPr>
                <w:rFonts w:ascii="Verdana" w:eastAsiaTheme="minorEastAsia" w:hAnsi="Verdana" w:cs="Verdana"/>
                <w:color w:val="000000"/>
                <w:sz w:val="18"/>
                <w:szCs w:val="18"/>
                <w:vertAlign w:val="subscript"/>
              </w:rPr>
              <w:t>2</w:t>
            </w:r>
            <w:r w:rsidRPr="00AC4AB8">
              <w:rPr>
                <w:rFonts w:ascii="Verdana" w:eastAsiaTheme="minorEastAsia" w:hAnsi="Verdana" w:cs="Verdana"/>
                <w:color w:val="000000"/>
                <w:sz w:val="18"/>
                <w:szCs w:val="18"/>
              </w:rPr>
              <w:t xml:space="preserve"> 30-C5</w:t>
            </w:r>
          </w:p>
        </w:tc>
        <w:tc>
          <w:tcPr>
            <w:tcW w:w="109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30091B" w:rsidRPr="00AC4AB8" w:rsidRDefault="008D6697" w:rsidP="0030091B">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EI</w:t>
            </w:r>
            <w:r w:rsidRPr="00AC4AB8">
              <w:rPr>
                <w:rFonts w:ascii="Verdana" w:eastAsiaTheme="minorEastAsia" w:hAnsi="Verdana" w:cs="Verdana"/>
                <w:color w:val="000000"/>
                <w:sz w:val="18"/>
                <w:szCs w:val="18"/>
                <w:vertAlign w:val="subscript"/>
              </w:rPr>
              <w:t>2</w:t>
            </w:r>
            <w:r w:rsidRPr="00AC4AB8">
              <w:rPr>
                <w:rFonts w:ascii="Verdana" w:eastAsiaTheme="minorEastAsia" w:hAnsi="Verdana" w:cs="Verdana"/>
                <w:color w:val="000000"/>
                <w:sz w:val="18"/>
                <w:szCs w:val="18"/>
              </w:rPr>
              <w:t xml:space="preserve"> </w:t>
            </w:r>
            <w:r>
              <w:rPr>
                <w:rFonts w:ascii="Verdana" w:eastAsiaTheme="minorEastAsia" w:hAnsi="Verdana" w:cs="Verdana"/>
                <w:color w:val="000000"/>
                <w:sz w:val="18"/>
                <w:szCs w:val="18"/>
              </w:rPr>
              <w:t>45</w:t>
            </w:r>
            <w:r w:rsidRPr="00AC4AB8">
              <w:rPr>
                <w:rFonts w:ascii="Verdana" w:eastAsiaTheme="minorEastAsia" w:hAnsi="Verdana" w:cs="Verdana"/>
                <w:color w:val="000000"/>
                <w:sz w:val="18"/>
                <w:szCs w:val="18"/>
              </w:rPr>
              <w:t>-C5</w:t>
            </w:r>
          </w:p>
        </w:tc>
      </w:tr>
      <w:tr w:rsidR="008D6697" w:rsidRPr="00AC4AB8" w:rsidTr="008D6697">
        <w:trPr>
          <w:trHeight w:hRule="exact" w:val="253"/>
        </w:trPr>
        <w:tc>
          <w:tcPr>
            <w:tcW w:w="162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D6697" w:rsidRPr="00AC4AB8" w:rsidRDefault="008D6697" w:rsidP="008D6697">
            <w:pPr>
              <w:widowControl w:val="0"/>
              <w:autoSpaceDE w:val="0"/>
              <w:autoSpaceDN w:val="0"/>
              <w:adjustRightInd w:val="0"/>
              <w:rPr>
                <w:rFonts w:ascii="Verdana" w:eastAsiaTheme="minorEastAsia" w:hAnsi="Verdana" w:cs="Verdana"/>
                <w:color w:val="000000"/>
                <w:sz w:val="18"/>
                <w:szCs w:val="18"/>
              </w:rPr>
            </w:pPr>
            <w:r>
              <w:rPr>
                <w:rFonts w:ascii="Verdana" w:eastAsiaTheme="minorEastAsia" w:hAnsi="Verdana" w:cs="Verdana"/>
                <w:color w:val="000000"/>
                <w:sz w:val="18"/>
                <w:szCs w:val="18"/>
              </w:rPr>
              <w:t>Instalaciones</w:t>
            </w:r>
          </w:p>
        </w:tc>
        <w:tc>
          <w:tcPr>
            <w:tcW w:w="91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D6697" w:rsidRPr="00AC4AB8" w:rsidRDefault="008D6697" w:rsidP="008D6697">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4000</w:t>
            </w:r>
          </w:p>
        </w:tc>
        <w:tc>
          <w:tcPr>
            <w:tcW w:w="109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D6697" w:rsidRPr="00AC4AB8" w:rsidRDefault="008D6697" w:rsidP="008D6697">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37</w:t>
            </w:r>
          </w:p>
        </w:tc>
        <w:tc>
          <w:tcPr>
            <w:tcW w:w="164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D6697" w:rsidRPr="00AC4AB8" w:rsidRDefault="008D6697" w:rsidP="008D6697">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Aulas</w:t>
            </w:r>
          </w:p>
        </w:tc>
        <w:tc>
          <w:tcPr>
            <w:tcW w:w="103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D6697" w:rsidRPr="00AC4AB8" w:rsidRDefault="008D6697" w:rsidP="008D6697">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EI 60</w:t>
            </w:r>
          </w:p>
        </w:tc>
        <w:tc>
          <w:tcPr>
            <w:tcW w:w="121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D6697" w:rsidRPr="00AC4AB8" w:rsidRDefault="008D6697" w:rsidP="008D6697">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EI </w:t>
            </w:r>
            <w:r>
              <w:rPr>
                <w:rFonts w:ascii="Verdana" w:eastAsiaTheme="minorEastAsia" w:hAnsi="Verdana" w:cs="Verdana"/>
                <w:color w:val="000000"/>
                <w:sz w:val="18"/>
                <w:szCs w:val="18"/>
              </w:rPr>
              <w:t>9</w:t>
            </w:r>
            <w:r w:rsidRPr="00AC4AB8">
              <w:rPr>
                <w:rFonts w:ascii="Verdana" w:eastAsiaTheme="minorEastAsia" w:hAnsi="Verdana" w:cs="Verdana"/>
                <w:color w:val="000000"/>
                <w:sz w:val="18"/>
                <w:szCs w:val="18"/>
              </w:rPr>
              <w:t>0</w:t>
            </w:r>
          </w:p>
        </w:tc>
        <w:tc>
          <w:tcPr>
            <w:tcW w:w="117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D6697" w:rsidRPr="00AC4AB8" w:rsidRDefault="008D6697" w:rsidP="008D6697">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EI</w:t>
            </w:r>
            <w:r w:rsidRPr="00AC4AB8">
              <w:rPr>
                <w:rFonts w:ascii="Verdana" w:eastAsiaTheme="minorEastAsia" w:hAnsi="Verdana" w:cs="Verdana"/>
                <w:color w:val="000000"/>
                <w:sz w:val="18"/>
                <w:szCs w:val="18"/>
                <w:vertAlign w:val="subscript"/>
              </w:rPr>
              <w:t>2</w:t>
            </w:r>
            <w:r w:rsidRPr="00AC4AB8">
              <w:rPr>
                <w:rFonts w:ascii="Verdana" w:eastAsiaTheme="minorEastAsia" w:hAnsi="Verdana" w:cs="Verdana"/>
                <w:color w:val="000000"/>
                <w:sz w:val="18"/>
                <w:szCs w:val="18"/>
              </w:rPr>
              <w:t xml:space="preserve"> 30-C5</w:t>
            </w:r>
          </w:p>
        </w:tc>
        <w:tc>
          <w:tcPr>
            <w:tcW w:w="109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D6697" w:rsidRPr="00AC4AB8" w:rsidRDefault="008D6697" w:rsidP="008D6697">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EI</w:t>
            </w:r>
            <w:r w:rsidRPr="00AC4AB8">
              <w:rPr>
                <w:rFonts w:ascii="Verdana" w:eastAsiaTheme="minorEastAsia" w:hAnsi="Verdana" w:cs="Verdana"/>
                <w:color w:val="000000"/>
                <w:sz w:val="18"/>
                <w:szCs w:val="18"/>
                <w:vertAlign w:val="subscript"/>
              </w:rPr>
              <w:t>2</w:t>
            </w:r>
            <w:r w:rsidRPr="00AC4AB8">
              <w:rPr>
                <w:rFonts w:ascii="Verdana" w:eastAsiaTheme="minorEastAsia" w:hAnsi="Verdana" w:cs="Verdana"/>
                <w:color w:val="000000"/>
                <w:sz w:val="18"/>
                <w:szCs w:val="18"/>
              </w:rPr>
              <w:t xml:space="preserve"> </w:t>
            </w:r>
            <w:r>
              <w:rPr>
                <w:rFonts w:ascii="Verdana" w:eastAsiaTheme="minorEastAsia" w:hAnsi="Verdana" w:cs="Verdana"/>
                <w:color w:val="000000"/>
                <w:sz w:val="18"/>
                <w:szCs w:val="18"/>
              </w:rPr>
              <w:t>45</w:t>
            </w:r>
            <w:r w:rsidRPr="00AC4AB8">
              <w:rPr>
                <w:rFonts w:ascii="Verdana" w:eastAsiaTheme="minorEastAsia" w:hAnsi="Verdana" w:cs="Verdana"/>
                <w:color w:val="000000"/>
                <w:sz w:val="18"/>
                <w:szCs w:val="18"/>
              </w:rPr>
              <w:t>-C5</w:t>
            </w:r>
          </w:p>
        </w:tc>
      </w:tr>
      <w:tr w:rsidR="00AC27E4" w:rsidRPr="00AC4AB8" w:rsidTr="00AC27E4">
        <w:trPr>
          <w:trHeight w:hRule="exact" w:val="253"/>
        </w:trPr>
        <w:tc>
          <w:tcPr>
            <w:tcW w:w="162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AC27E4" w:rsidRPr="00AC4AB8" w:rsidRDefault="008D6697" w:rsidP="00AC27E4">
            <w:pPr>
              <w:widowControl w:val="0"/>
              <w:autoSpaceDE w:val="0"/>
              <w:autoSpaceDN w:val="0"/>
              <w:adjustRightInd w:val="0"/>
              <w:rPr>
                <w:rFonts w:ascii="Verdana" w:eastAsiaTheme="minorEastAsia" w:hAnsi="Verdana" w:cs="Verdana"/>
                <w:color w:val="000000"/>
                <w:sz w:val="18"/>
                <w:szCs w:val="18"/>
              </w:rPr>
            </w:pPr>
            <w:r>
              <w:rPr>
                <w:rFonts w:ascii="Verdana" w:eastAsiaTheme="minorEastAsia" w:hAnsi="Verdana" w:cs="Verdana"/>
                <w:color w:val="000000"/>
                <w:sz w:val="18"/>
                <w:szCs w:val="18"/>
              </w:rPr>
              <w:t>Almacén primera</w:t>
            </w:r>
          </w:p>
        </w:tc>
        <w:tc>
          <w:tcPr>
            <w:tcW w:w="91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AC27E4" w:rsidRPr="00AC4AB8" w:rsidRDefault="00AC27E4" w:rsidP="00AC27E4">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4000</w:t>
            </w:r>
          </w:p>
        </w:tc>
        <w:tc>
          <w:tcPr>
            <w:tcW w:w="109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AC27E4" w:rsidRPr="00AC4AB8" w:rsidRDefault="008D6697" w:rsidP="00AC27E4">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23,93</w:t>
            </w:r>
          </w:p>
        </w:tc>
        <w:tc>
          <w:tcPr>
            <w:tcW w:w="164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AC27E4" w:rsidRPr="00AC4AB8" w:rsidRDefault="008D6697" w:rsidP="008D6697">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Almacén</w:t>
            </w:r>
          </w:p>
        </w:tc>
        <w:tc>
          <w:tcPr>
            <w:tcW w:w="103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AC27E4" w:rsidRPr="00AC4AB8" w:rsidRDefault="00AC27E4" w:rsidP="008D6697">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EI </w:t>
            </w:r>
            <w:r w:rsidR="008D6697">
              <w:rPr>
                <w:rFonts w:ascii="Verdana" w:eastAsiaTheme="minorEastAsia" w:hAnsi="Verdana" w:cs="Verdana"/>
                <w:color w:val="000000"/>
                <w:sz w:val="18"/>
                <w:szCs w:val="18"/>
              </w:rPr>
              <w:t>9</w:t>
            </w:r>
            <w:r w:rsidRPr="00AC4AB8">
              <w:rPr>
                <w:rFonts w:ascii="Verdana" w:eastAsiaTheme="minorEastAsia" w:hAnsi="Verdana" w:cs="Verdana"/>
                <w:color w:val="000000"/>
                <w:sz w:val="18"/>
                <w:szCs w:val="18"/>
              </w:rPr>
              <w:t>0</w:t>
            </w:r>
          </w:p>
        </w:tc>
        <w:tc>
          <w:tcPr>
            <w:tcW w:w="121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AC27E4" w:rsidRPr="00AC4AB8" w:rsidRDefault="008D6697" w:rsidP="00AC27E4">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EI </w:t>
            </w:r>
            <w:r>
              <w:rPr>
                <w:rFonts w:ascii="Verdana" w:eastAsiaTheme="minorEastAsia" w:hAnsi="Verdana" w:cs="Verdana"/>
                <w:color w:val="000000"/>
                <w:sz w:val="18"/>
                <w:szCs w:val="18"/>
              </w:rPr>
              <w:t>9</w:t>
            </w:r>
            <w:r w:rsidRPr="00AC4AB8">
              <w:rPr>
                <w:rFonts w:ascii="Verdana" w:eastAsiaTheme="minorEastAsia" w:hAnsi="Verdana" w:cs="Verdana"/>
                <w:color w:val="000000"/>
                <w:sz w:val="18"/>
                <w:szCs w:val="18"/>
              </w:rPr>
              <w:t>0</w:t>
            </w:r>
          </w:p>
        </w:tc>
        <w:tc>
          <w:tcPr>
            <w:tcW w:w="117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AC27E4" w:rsidRPr="00AC4AB8" w:rsidRDefault="00AC27E4" w:rsidP="008D6697">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EI</w:t>
            </w:r>
            <w:r w:rsidRPr="00AC4AB8">
              <w:rPr>
                <w:rFonts w:ascii="Verdana" w:eastAsiaTheme="minorEastAsia" w:hAnsi="Verdana" w:cs="Verdana"/>
                <w:color w:val="000000"/>
                <w:sz w:val="18"/>
                <w:szCs w:val="18"/>
                <w:vertAlign w:val="subscript"/>
              </w:rPr>
              <w:t>2</w:t>
            </w:r>
            <w:r w:rsidRPr="00AC4AB8">
              <w:rPr>
                <w:rFonts w:ascii="Verdana" w:eastAsiaTheme="minorEastAsia" w:hAnsi="Verdana" w:cs="Verdana"/>
                <w:color w:val="000000"/>
                <w:sz w:val="18"/>
                <w:szCs w:val="18"/>
              </w:rPr>
              <w:t xml:space="preserve"> </w:t>
            </w:r>
            <w:r w:rsidR="008D6697">
              <w:rPr>
                <w:rFonts w:ascii="Verdana" w:eastAsiaTheme="minorEastAsia" w:hAnsi="Verdana" w:cs="Verdana"/>
                <w:color w:val="000000"/>
                <w:sz w:val="18"/>
                <w:szCs w:val="18"/>
              </w:rPr>
              <w:t>45</w:t>
            </w:r>
            <w:r w:rsidRPr="00AC4AB8">
              <w:rPr>
                <w:rFonts w:ascii="Verdana" w:eastAsiaTheme="minorEastAsia" w:hAnsi="Verdana" w:cs="Verdana"/>
                <w:color w:val="000000"/>
                <w:sz w:val="18"/>
                <w:szCs w:val="18"/>
              </w:rPr>
              <w:t>-C5</w:t>
            </w:r>
          </w:p>
        </w:tc>
        <w:tc>
          <w:tcPr>
            <w:tcW w:w="109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AC27E4" w:rsidRPr="00AC4AB8" w:rsidRDefault="008D6697" w:rsidP="00AC27E4">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EI</w:t>
            </w:r>
            <w:r w:rsidRPr="00AC4AB8">
              <w:rPr>
                <w:rFonts w:ascii="Verdana" w:eastAsiaTheme="minorEastAsia" w:hAnsi="Verdana" w:cs="Verdana"/>
                <w:color w:val="000000"/>
                <w:sz w:val="18"/>
                <w:szCs w:val="18"/>
                <w:vertAlign w:val="subscript"/>
              </w:rPr>
              <w:t>2</w:t>
            </w:r>
            <w:r w:rsidRPr="00AC4AB8">
              <w:rPr>
                <w:rFonts w:ascii="Verdana" w:eastAsiaTheme="minorEastAsia" w:hAnsi="Verdana" w:cs="Verdana"/>
                <w:color w:val="000000"/>
                <w:sz w:val="18"/>
                <w:szCs w:val="18"/>
              </w:rPr>
              <w:t xml:space="preserve"> </w:t>
            </w:r>
            <w:r>
              <w:rPr>
                <w:rFonts w:ascii="Verdana" w:eastAsiaTheme="minorEastAsia" w:hAnsi="Verdana" w:cs="Verdana"/>
                <w:color w:val="000000"/>
                <w:sz w:val="18"/>
                <w:szCs w:val="18"/>
              </w:rPr>
              <w:t>45</w:t>
            </w:r>
            <w:r w:rsidRPr="00AC4AB8">
              <w:rPr>
                <w:rFonts w:ascii="Verdana" w:eastAsiaTheme="minorEastAsia" w:hAnsi="Verdana" w:cs="Verdana"/>
                <w:color w:val="000000"/>
                <w:sz w:val="18"/>
                <w:szCs w:val="18"/>
              </w:rPr>
              <w:t>-C5</w:t>
            </w:r>
          </w:p>
        </w:tc>
      </w:tr>
      <w:tr w:rsidR="00C372F9" w:rsidRPr="00AC4AB8" w:rsidTr="00AC27E4">
        <w:trPr>
          <w:trHeight w:hRule="exact" w:val="885"/>
        </w:trPr>
        <w:tc>
          <w:tcPr>
            <w:tcW w:w="9808" w:type="dxa"/>
            <w:gridSpan w:val="8"/>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rPr>
              <w:t>Notas:</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(1)</w:t>
            </w:r>
            <w:r w:rsidRPr="00AC4AB8">
              <w:rPr>
                <w:rFonts w:ascii="Verdana" w:eastAsiaTheme="minorEastAsia" w:hAnsi="Verdana" w:cs="Verdana"/>
                <w:i/>
                <w:iCs/>
                <w:color w:val="000000"/>
                <w:sz w:val="14"/>
                <w:szCs w:val="14"/>
              </w:rPr>
              <w:t xml:space="preserve"> Según se consideran en el Anejo A Terminología (CTE DB SI). Para los usos no contemplados en este Documento Básico, se procede por asimilación en función de la densidad de ocupación, movilidad de los usuarios, etc.</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(2)</w:t>
            </w:r>
            <w:r w:rsidRPr="00AC4AB8">
              <w:rPr>
                <w:rFonts w:ascii="Verdana" w:eastAsiaTheme="minorEastAsia" w:hAnsi="Verdana" w:cs="Verdana"/>
                <w:i/>
                <w:iCs/>
                <w:color w:val="000000"/>
                <w:sz w:val="14"/>
                <w:szCs w:val="14"/>
              </w:rPr>
              <w:t xml:space="preserve"> Los valores mínimos están establecidos en la tabla 1.2 (CTE DB SI 1 Propagación interior).</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(3)</w:t>
            </w:r>
            <w:r w:rsidRPr="00AC4AB8">
              <w:rPr>
                <w:rFonts w:ascii="Verdana" w:eastAsiaTheme="minorEastAsia" w:hAnsi="Verdana" w:cs="Verdana"/>
                <w:i/>
                <w:iCs/>
                <w:color w:val="000000"/>
                <w:sz w:val="14"/>
                <w:szCs w:val="14"/>
              </w:rPr>
              <w:t xml:space="preserve"> Los techos tienen una característica 'REI', al tratarse de elementos portantes y compartimentadores de incendio.</w:t>
            </w:r>
          </w:p>
        </w:tc>
      </w:tr>
    </w:tbl>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2.- LOCALES DE RIESGO ESPECIAL</w:t>
      </w:r>
      <w:bookmarkStart w:id="215" w:name="REF_HTML:_RC_:2"/>
      <w:bookmarkEnd w:id="215"/>
    </w:p>
    <w:p w:rsidR="00C372F9" w:rsidRDefault="00AC27E4"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Se proyectan cuartos para instalaciones del edificio:</w:t>
      </w:r>
    </w:p>
    <w:p w:rsidR="00AC27E4" w:rsidRDefault="00AC27E4" w:rsidP="00C372F9">
      <w:pPr>
        <w:widowControl w:val="0"/>
        <w:autoSpaceDE w:val="0"/>
        <w:autoSpaceDN w:val="0"/>
        <w:adjustRightInd w:val="0"/>
        <w:rPr>
          <w:rFonts w:ascii="Verdana" w:hAnsi="Verdana" w:cs="Verdana"/>
          <w:color w:val="000000"/>
          <w:sz w:val="18"/>
          <w:szCs w:val="18"/>
        </w:rPr>
      </w:pPr>
    </w:p>
    <w:p w:rsidR="00AC27E4" w:rsidRDefault="00AC27E4"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-Cuarto de calderas.</w:t>
      </w:r>
    </w:p>
    <w:p w:rsidR="00AC27E4" w:rsidRDefault="00AC27E4"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w:t>
      </w:r>
      <w:r w:rsidR="009E5A65">
        <w:rPr>
          <w:rFonts w:ascii="Verdana" w:hAnsi="Verdana" w:cs="Verdana"/>
          <w:color w:val="000000"/>
          <w:sz w:val="18"/>
          <w:szCs w:val="18"/>
        </w:rPr>
        <w:t>C</w:t>
      </w:r>
      <w:r>
        <w:rPr>
          <w:rFonts w:ascii="Verdana" w:hAnsi="Verdana" w:cs="Verdana"/>
          <w:color w:val="000000"/>
          <w:sz w:val="18"/>
          <w:szCs w:val="18"/>
        </w:rPr>
        <w:t>uarto PCI.</w:t>
      </w:r>
    </w:p>
    <w:p w:rsidR="008D6697" w:rsidRDefault="008D6697"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-Almacén planta primera.</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3.- ESPACIOS OCULTOS. PASO DE INSTALACIONES A TRAVÉS DE ELEMENTOS DE COMPARTIMENTACIÓN DE INCENDIOS</w:t>
      </w:r>
      <w:bookmarkStart w:id="216" w:name="REF_HTML:_RC_:3"/>
      <w:bookmarkEnd w:id="216"/>
    </w:p>
    <w:p w:rsidR="00C372F9" w:rsidRDefault="00C372F9" w:rsidP="00C372F9">
      <w:pPr>
        <w:widowControl w:val="0"/>
        <w:autoSpaceDE w:val="0"/>
        <w:autoSpaceDN w:val="0"/>
        <w:adjustRightInd w:val="0"/>
        <w:spacing w:after="62"/>
        <w:rPr>
          <w:rFonts w:ascii="Verdana" w:hAnsi="Verdana" w:cs="Verdana"/>
          <w:color w:val="000000"/>
          <w:sz w:val="18"/>
          <w:szCs w:val="18"/>
        </w:rPr>
      </w:pPr>
      <w:r>
        <w:rPr>
          <w:rFonts w:ascii="Verdana" w:hAnsi="Verdana" w:cs="Verdana"/>
          <w:color w:val="000000"/>
          <w:sz w:val="18"/>
          <w:szCs w:val="18"/>
        </w:rPr>
        <w:t>La compartimentación contra incendios de los espacios ocupables tiene continuidad en los espacios ocultos, tales como patinillos, cámaras, falsos techos, suelos elevados, etc., salvo cuando éstos se compartimentan respecto de los primeros al menos con la misma resistencia al fuego, pudiendo reducirse ésta a la mitad en los registros para mantenimiento.</w:t>
      </w:r>
    </w:p>
    <w:p w:rsidR="00C372F9" w:rsidRDefault="00C372F9" w:rsidP="00C372F9">
      <w:pPr>
        <w:widowControl w:val="0"/>
        <w:autoSpaceDE w:val="0"/>
        <w:autoSpaceDN w:val="0"/>
        <w:adjustRightInd w:val="0"/>
        <w:spacing w:after="62"/>
        <w:rPr>
          <w:rFonts w:ascii="Verdana" w:hAnsi="Verdana" w:cs="Verdana"/>
          <w:color w:val="000000"/>
          <w:sz w:val="18"/>
          <w:szCs w:val="18"/>
        </w:rPr>
      </w:pPr>
    </w:p>
    <w:p w:rsidR="00C372F9" w:rsidRDefault="00C372F9" w:rsidP="00C372F9">
      <w:pPr>
        <w:widowControl w:val="0"/>
        <w:autoSpaceDE w:val="0"/>
        <w:autoSpaceDN w:val="0"/>
        <w:adjustRightInd w:val="0"/>
        <w:spacing w:after="62"/>
        <w:rPr>
          <w:rFonts w:ascii="Verdana" w:hAnsi="Verdana" w:cs="Verdana"/>
          <w:color w:val="000000"/>
          <w:sz w:val="18"/>
          <w:szCs w:val="18"/>
        </w:rPr>
      </w:pPr>
      <w:r>
        <w:rPr>
          <w:rFonts w:ascii="Verdana" w:hAnsi="Verdana" w:cs="Verdana"/>
          <w:color w:val="000000"/>
          <w:sz w:val="18"/>
          <w:szCs w:val="18"/>
        </w:rPr>
        <w:t>Se limita a tres plantas y una altura de 10 m el desarrollo vertical de las cámaras no estancas en las que existan elementos cuya clase de reacción al fuego no sea B-s3-d2, B</w:t>
      </w:r>
      <w:r>
        <w:rPr>
          <w:rFonts w:ascii="Verdana" w:hAnsi="Verdana" w:cs="Verdana"/>
          <w:color w:val="000000"/>
          <w:sz w:val="18"/>
          <w:szCs w:val="18"/>
          <w:vertAlign w:val="subscript"/>
        </w:rPr>
        <w:t>L</w:t>
      </w:r>
      <w:r>
        <w:rPr>
          <w:rFonts w:ascii="Verdana" w:hAnsi="Verdana" w:cs="Verdana"/>
          <w:color w:val="000000"/>
          <w:sz w:val="18"/>
          <w:szCs w:val="18"/>
        </w:rPr>
        <w:t>-s3-d2 o mejor.</w:t>
      </w:r>
    </w:p>
    <w:p w:rsidR="00C372F9" w:rsidRDefault="00C372F9" w:rsidP="00C372F9">
      <w:pPr>
        <w:widowControl w:val="0"/>
        <w:autoSpaceDE w:val="0"/>
        <w:autoSpaceDN w:val="0"/>
        <w:adjustRightInd w:val="0"/>
        <w:spacing w:after="62"/>
        <w:rPr>
          <w:rFonts w:ascii="Verdana" w:hAnsi="Verdana" w:cs="Verdana"/>
          <w:color w:val="000000"/>
          <w:sz w:val="18"/>
          <w:szCs w:val="18"/>
        </w:rPr>
      </w:pPr>
    </w:p>
    <w:p w:rsidR="00C372F9" w:rsidRDefault="00C372F9" w:rsidP="00C372F9">
      <w:pPr>
        <w:widowControl w:val="0"/>
        <w:autoSpaceDE w:val="0"/>
        <w:autoSpaceDN w:val="0"/>
        <w:adjustRightInd w:val="0"/>
        <w:spacing w:after="62"/>
        <w:rPr>
          <w:rFonts w:ascii="Verdana" w:hAnsi="Verdana" w:cs="Verdana"/>
          <w:color w:val="000000"/>
          <w:sz w:val="18"/>
          <w:szCs w:val="18"/>
        </w:rPr>
      </w:pPr>
      <w:r>
        <w:rPr>
          <w:rFonts w:ascii="Verdana" w:hAnsi="Verdana" w:cs="Verdana"/>
          <w:color w:val="000000"/>
          <w:sz w:val="18"/>
          <w:szCs w:val="18"/>
        </w:rPr>
        <w:t>La resistencia al fuego requerida en los elementos de compartimentación de incendio se mantiene en los puntos en los que dichos elementos son atravesados por elementos de las instalaciones, tales como cables, tuberías, conducciones, conductos de ventilación, etc., excluidas las penetraciones cuya sección de paso no exceda de 50 cm².</w:t>
      </w:r>
    </w:p>
    <w:p w:rsidR="00C372F9" w:rsidRDefault="00C372F9" w:rsidP="00C372F9">
      <w:pPr>
        <w:widowControl w:val="0"/>
        <w:autoSpaceDE w:val="0"/>
        <w:autoSpaceDN w:val="0"/>
        <w:adjustRightInd w:val="0"/>
        <w:spacing w:after="62"/>
        <w:rPr>
          <w:rFonts w:ascii="Verdana" w:hAnsi="Verdana" w:cs="Verdana"/>
          <w:color w:val="000000"/>
          <w:sz w:val="18"/>
          <w:szCs w:val="18"/>
        </w:rPr>
      </w:pPr>
    </w:p>
    <w:p w:rsidR="00C372F9" w:rsidRDefault="00C372F9" w:rsidP="00C372F9">
      <w:pPr>
        <w:widowControl w:val="0"/>
        <w:autoSpaceDE w:val="0"/>
        <w:autoSpaceDN w:val="0"/>
        <w:adjustRightInd w:val="0"/>
        <w:spacing w:after="147"/>
        <w:rPr>
          <w:rFonts w:ascii="Verdana" w:hAnsi="Verdana" w:cs="Verdana"/>
          <w:color w:val="000000"/>
          <w:sz w:val="18"/>
          <w:szCs w:val="18"/>
        </w:rPr>
      </w:pPr>
      <w:r>
        <w:rPr>
          <w:rFonts w:ascii="Verdana" w:hAnsi="Verdana" w:cs="Verdana"/>
          <w:color w:val="000000"/>
          <w:sz w:val="18"/>
          <w:szCs w:val="18"/>
        </w:rPr>
        <w:t>Para ello, se optará por una de las siguientes alternativas:</w:t>
      </w:r>
    </w:p>
    <w:p w:rsidR="00C372F9" w:rsidRDefault="00C372F9" w:rsidP="00C372F9">
      <w:pPr>
        <w:widowControl w:val="0"/>
        <w:autoSpaceDE w:val="0"/>
        <w:autoSpaceDN w:val="0"/>
        <w:adjustRightInd w:val="0"/>
        <w:spacing w:after="62"/>
        <w:ind w:left="240" w:hanging="240"/>
        <w:rPr>
          <w:rFonts w:ascii="Verdana" w:hAnsi="Verdana" w:cs="Verdana"/>
          <w:color w:val="000000"/>
          <w:sz w:val="18"/>
          <w:szCs w:val="18"/>
        </w:rPr>
      </w:pPr>
      <w:r>
        <w:rPr>
          <w:rFonts w:ascii="Verdana" w:hAnsi="Verdana" w:cs="Verdana"/>
          <w:color w:val="000000"/>
          <w:sz w:val="18"/>
          <w:szCs w:val="18"/>
        </w:rPr>
        <w:t xml:space="preserve">a) Mediante elementos que, en caso de incendio, obturen automáticamente la sección de paso y garanticen en dicho punto una resistencia al fuego al menos igual a la del elemento atravesado; por </w:t>
      </w:r>
      <w:r>
        <w:rPr>
          <w:rFonts w:ascii="Verdana" w:hAnsi="Verdana" w:cs="Verdana"/>
          <w:color w:val="000000"/>
          <w:sz w:val="18"/>
          <w:szCs w:val="18"/>
        </w:rPr>
        <w:lastRenderedPageBreak/>
        <w:t>ejemplo, una compuerta cortafuegos automática EI t(i</w:t>
      </w:r>
      <w:r>
        <w:rPr>
          <w:rFonts w:ascii="Symbol" w:hAnsi="Symbol" w:cs="Symbol"/>
          <w:color w:val="000000"/>
          <w:sz w:val="18"/>
          <w:szCs w:val="18"/>
        </w:rPr>
        <w:t></w:t>
      </w:r>
      <w:r>
        <w:rPr>
          <w:rFonts w:ascii="Verdana" w:hAnsi="Verdana" w:cs="Verdana"/>
          <w:color w:val="000000"/>
          <w:sz w:val="18"/>
          <w:szCs w:val="18"/>
        </w:rPr>
        <w:t>o) ('t' es el tiempo de resistencia al fuego requerido al elemento de compartimentación atravesado), o un dispositivo intumescente de obturación.</w:t>
      </w:r>
    </w:p>
    <w:p w:rsidR="00C372F9" w:rsidRDefault="00C372F9" w:rsidP="00C372F9">
      <w:pPr>
        <w:widowControl w:val="0"/>
        <w:numPr>
          <w:ilvl w:val="12"/>
          <w:numId w:val="0"/>
        </w:numPr>
        <w:autoSpaceDE w:val="0"/>
        <w:autoSpaceDN w:val="0"/>
        <w:adjustRightInd w:val="0"/>
        <w:spacing w:after="62"/>
        <w:ind w:left="240" w:hanging="240"/>
        <w:rPr>
          <w:rFonts w:ascii="Verdana" w:hAnsi="Verdana" w:cs="Verdana"/>
          <w:color w:val="000000"/>
          <w:sz w:val="18"/>
          <w:szCs w:val="18"/>
        </w:rPr>
      </w:pPr>
    </w:p>
    <w:p w:rsidR="00C372F9" w:rsidRDefault="00C372F9" w:rsidP="00C372F9">
      <w:pPr>
        <w:widowControl w:val="0"/>
        <w:autoSpaceDE w:val="0"/>
        <w:autoSpaceDN w:val="0"/>
        <w:adjustRightInd w:val="0"/>
        <w:spacing w:after="147"/>
        <w:ind w:left="240" w:hanging="240"/>
        <w:rPr>
          <w:rFonts w:ascii="Verdana" w:hAnsi="Verdana" w:cs="Verdana"/>
          <w:color w:val="000000"/>
          <w:sz w:val="18"/>
          <w:szCs w:val="18"/>
        </w:rPr>
      </w:pPr>
      <w:r>
        <w:rPr>
          <w:rFonts w:ascii="Verdana" w:hAnsi="Verdana" w:cs="Verdana"/>
          <w:color w:val="000000"/>
          <w:sz w:val="18"/>
          <w:szCs w:val="18"/>
        </w:rPr>
        <w:t>b) Mediante elementos pasantes que aporten una resistencia al menos igual a la del elemento atravesado, por ejemplo, conductos de ventilación EI t(i</w:t>
      </w:r>
      <w:r>
        <w:rPr>
          <w:rFonts w:ascii="Symbol" w:hAnsi="Symbol" w:cs="Symbol"/>
          <w:color w:val="000000"/>
          <w:sz w:val="18"/>
          <w:szCs w:val="18"/>
        </w:rPr>
        <w:t></w:t>
      </w:r>
      <w:r>
        <w:rPr>
          <w:rFonts w:ascii="Verdana" w:hAnsi="Verdana" w:cs="Verdana"/>
          <w:color w:val="000000"/>
          <w:sz w:val="18"/>
          <w:szCs w:val="18"/>
        </w:rPr>
        <w:t>o) ('t' es el tiempo de resistencia al fuego requerido al elemento de compartimentación atravesado).</w:t>
      </w:r>
    </w:p>
    <w:p w:rsidR="00C372F9" w:rsidRDefault="00C372F9" w:rsidP="00C372F9">
      <w:pPr>
        <w:widowControl w:val="0"/>
        <w:numPr>
          <w:ilvl w:val="12"/>
          <w:numId w:val="0"/>
        </w:numPr>
        <w:autoSpaceDE w:val="0"/>
        <w:autoSpaceDN w:val="0"/>
        <w:adjustRightInd w:val="0"/>
        <w:spacing w:after="147"/>
        <w:ind w:left="240" w:hanging="24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4.- REACCIÓN AL FUEGO DE ELEMENTOS CONSTRUCTIVOS, DECORATIVOS Y DE MOBILIARIO</w:t>
      </w:r>
      <w:bookmarkStart w:id="217" w:name="REF_HTML:_RC_:4"/>
      <w:bookmarkEnd w:id="217"/>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Los elementos constructivos utilizados cumplen las condiciones de reacción al fuego que se establecen en la tabla 4.1 (CTE DB SI 1 Propagación interior).</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Las condiciones de reacción al fuego de los componentes de las instalaciones eléctricas (cables, tubos, bandejas, regletas, armarios, etc.) se regulan en el Reglamento Electrotécnico de Baja Tensión (REBT-2002).</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p>
    <w:tbl>
      <w:tblPr>
        <w:tblW w:w="0" w:type="auto"/>
        <w:tblInd w:w="23" w:type="dxa"/>
        <w:tblLayout w:type="fixed"/>
        <w:tblCellMar>
          <w:top w:w="28" w:type="dxa"/>
          <w:left w:w="0" w:type="dxa"/>
          <w:bottom w:w="28" w:type="dxa"/>
          <w:right w:w="0" w:type="dxa"/>
        </w:tblCellMar>
        <w:tblLook w:val="0000"/>
      </w:tblPr>
      <w:tblGrid>
        <w:gridCol w:w="6857"/>
        <w:gridCol w:w="2038"/>
        <w:gridCol w:w="914"/>
      </w:tblGrid>
      <w:tr w:rsidR="00C372F9" w:rsidRPr="00AC4AB8" w:rsidTr="00C372F9">
        <w:trPr>
          <w:trHeight w:hRule="exact" w:val="253"/>
        </w:trPr>
        <w:tc>
          <w:tcPr>
            <w:tcW w:w="9809" w:type="dxa"/>
            <w:gridSpan w:val="3"/>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b/>
                <w:bCs/>
                <w:color w:val="000000"/>
                <w:sz w:val="18"/>
                <w:szCs w:val="18"/>
              </w:rPr>
              <w:t>Reacción al fuego</w:t>
            </w:r>
          </w:p>
        </w:tc>
      </w:tr>
      <w:tr w:rsidR="00C372F9" w:rsidRPr="00AC4AB8" w:rsidTr="00C372F9">
        <w:trPr>
          <w:trHeight w:hRule="exact" w:val="253"/>
        </w:trPr>
        <w:tc>
          <w:tcPr>
            <w:tcW w:w="6857"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Situación del elemento</w:t>
            </w:r>
          </w:p>
        </w:tc>
        <w:tc>
          <w:tcPr>
            <w:tcW w:w="2952"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Revestimiento </w:t>
            </w:r>
            <w:r w:rsidRPr="00AC4AB8">
              <w:rPr>
                <w:rFonts w:ascii="Verdana" w:eastAsiaTheme="minorEastAsia" w:hAnsi="Verdana" w:cs="Verdana"/>
                <w:color w:val="000000"/>
                <w:sz w:val="18"/>
                <w:szCs w:val="18"/>
                <w:vertAlign w:val="superscript"/>
              </w:rPr>
              <w:t>(1)</w:t>
            </w:r>
          </w:p>
        </w:tc>
      </w:tr>
      <w:tr w:rsidR="00C372F9" w:rsidRPr="00AC4AB8" w:rsidTr="00C372F9">
        <w:trPr>
          <w:trHeight w:hRule="exact" w:val="253"/>
        </w:trPr>
        <w:tc>
          <w:tcPr>
            <w:tcW w:w="6857"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203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Techos y paredes </w:t>
            </w:r>
            <w:r w:rsidRPr="00AC4AB8">
              <w:rPr>
                <w:rFonts w:ascii="Verdana" w:eastAsiaTheme="minorEastAsia" w:hAnsi="Verdana" w:cs="Verdana"/>
                <w:color w:val="000000"/>
                <w:sz w:val="18"/>
                <w:szCs w:val="18"/>
                <w:vertAlign w:val="superscript"/>
              </w:rPr>
              <w:t>(2)(3)</w:t>
            </w:r>
          </w:p>
        </w:tc>
        <w:tc>
          <w:tcPr>
            <w:tcW w:w="91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Suelos </w:t>
            </w:r>
            <w:r w:rsidRPr="00AC4AB8">
              <w:rPr>
                <w:rFonts w:ascii="Verdana" w:eastAsiaTheme="minorEastAsia" w:hAnsi="Verdana" w:cs="Verdana"/>
                <w:color w:val="000000"/>
                <w:sz w:val="18"/>
                <w:szCs w:val="18"/>
                <w:vertAlign w:val="superscript"/>
              </w:rPr>
              <w:t>(2)</w:t>
            </w:r>
          </w:p>
        </w:tc>
      </w:tr>
      <w:tr w:rsidR="00C372F9" w:rsidRPr="00AC4AB8" w:rsidTr="00C372F9">
        <w:trPr>
          <w:trHeight w:hRule="exact" w:val="471"/>
        </w:trPr>
        <w:tc>
          <w:tcPr>
            <w:tcW w:w="685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Espacios ocultos no estancos: patinillos, falsos techos </w:t>
            </w:r>
            <w:r w:rsidRPr="00AC4AB8">
              <w:rPr>
                <w:rFonts w:ascii="Verdana" w:eastAsiaTheme="minorEastAsia" w:hAnsi="Verdana" w:cs="Verdana"/>
                <w:color w:val="000000"/>
                <w:sz w:val="18"/>
                <w:szCs w:val="18"/>
                <w:vertAlign w:val="superscript"/>
              </w:rPr>
              <w:t>(4)</w:t>
            </w:r>
            <w:r w:rsidRPr="00AC4AB8">
              <w:rPr>
                <w:rFonts w:ascii="Verdana" w:eastAsiaTheme="minorEastAsia" w:hAnsi="Verdana" w:cs="Verdana"/>
                <w:color w:val="000000"/>
                <w:sz w:val="18"/>
                <w:szCs w:val="18"/>
              </w:rPr>
              <w:t>, suelos elevados, etc.</w:t>
            </w:r>
          </w:p>
        </w:tc>
        <w:tc>
          <w:tcPr>
            <w:tcW w:w="203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B-s3, d0</w:t>
            </w:r>
          </w:p>
        </w:tc>
        <w:tc>
          <w:tcPr>
            <w:tcW w:w="91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B</w:t>
            </w:r>
            <w:r w:rsidRPr="00AC4AB8">
              <w:rPr>
                <w:rFonts w:ascii="Verdana" w:eastAsiaTheme="minorEastAsia" w:hAnsi="Verdana" w:cs="Verdana"/>
                <w:color w:val="000000"/>
                <w:sz w:val="18"/>
                <w:szCs w:val="18"/>
                <w:vertAlign w:val="subscript"/>
              </w:rPr>
              <w:t>FL</w:t>
            </w:r>
            <w:r w:rsidRPr="00AC4AB8">
              <w:rPr>
                <w:rFonts w:ascii="Verdana" w:eastAsiaTheme="minorEastAsia" w:hAnsi="Verdana" w:cs="Verdana"/>
                <w:color w:val="000000"/>
                <w:sz w:val="18"/>
                <w:szCs w:val="18"/>
              </w:rPr>
              <w:t xml:space="preserve">-s2 </w:t>
            </w:r>
            <w:r w:rsidRPr="00AC4AB8">
              <w:rPr>
                <w:rFonts w:ascii="Verdana" w:eastAsiaTheme="minorEastAsia" w:hAnsi="Verdana" w:cs="Verdana"/>
                <w:color w:val="000000"/>
                <w:sz w:val="18"/>
                <w:szCs w:val="18"/>
                <w:vertAlign w:val="superscript"/>
              </w:rPr>
              <w:t>(5)</w:t>
            </w:r>
          </w:p>
        </w:tc>
      </w:tr>
      <w:tr w:rsidR="00C372F9" w:rsidRPr="00AC4AB8" w:rsidTr="00C372F9">
        <w:trPr>
          <w:trHeight w:hRule="exact" w:val="2078"/>
        </w:trPr>
        <w:tc>
          <w:tcPr>
            <w:tcW w:w="9809" w:type="dxa"/>
            <w:gridSpan w:val="3"/>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rPr>
              <w:t>Notas:</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(1)</w:t>
            </w:r>
            <w:r w:rsidRPr="00AC4AB8">
              <w:rPr>
                <w:rFonts w:ascii="Verdana" w:eastAsiaTheme="minorEastAsia" w:hAnsi="Verdana" w:cs="Verdana"/>
                <w:i/>
                <w:iCs/>
                <w:color w:val="000000"/>
                <w:sz w:val="14"/>
                <w:szCs w:val="14"/>
              </w:rPr>
              <w:t xml:space="preserve"> Siempre que se supere el 5% de las superficies totales del conjunto de las paredes, del conjunto de los techos o del conjunto de los suelos del recinto considerado.</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(2)</w:t>
            </w:r>
            <w:r w:rsidRPr="00AC4AB8">
              <w:rPr>
                <w:rFonts w:ascii="Verdana" w:eastAsiaTheme="minorEastAsia" w:hAnsi="Verdana" w:cs="Verdana"/>
                <w:i/>
                <w:iCs/>
                <w:color w:val="000000"/>
                <w:sz w:val="14"/>
                <w:szCs w:val="14"/>
              </w:rPr>
              <w:t xml:space="preserve"> Incluye las tuberías y conductos que transcurren por las zonas que se indican sin recubrimiento resistente al fuego. Cuando se trate de tuberías con aislamiento térmico lineal, la clase de reacción al fuego será la que se indica, pero incorporando el subíndice 'L'.</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(3)</w:t>
            </w:r>
            <w:r w:rsidRPr="00AC4AB8">
              <w:rPr>
                <w:rFonts w:ascii="Verdana" w:eastAsiaTheme="minorEastAsia" w:hAnsi="Verdana" w:cs="Verdana"/>
                <w:i/>
                <w:iCs/>
                <w:color w:val="000000"/>
                <w:sz w:val="14"/>
                <w:szCs w:val="14"/>
              </w:rPr>
              <w:t xml:space="preserve"> Incluye a aquellos materiales que constituyan una capa, contenida en el interior del techo o pared, que no esté protegida por otra que sea EI 30 como mínimo.</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(4)</w:t>
            </w:r>
            <w:r w:rsidRPr="00AC4AB8">
              <w:rPr>
                <w:rFonts w:ascii="Verdana" w:eastAsiaTheme="minorEastAsia" w:hAnsi="Verdana" w:cs="Verdana"/>
                <w:i/>
                <w:iCs/>
                <w:color w:val="000000"/>
                <w:sz w:val="14"/>
                <w:szCs w:val="14"/>
              </w:rPr>
              <w:t xml:space="preserve"> Excepto en falsos techos existentes en el interior de las viviendas.</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(5)</w:t>
            </w:r>
            <w:r w:rsidRPr="00AC4AB8">
              <w:rPr>
                <w:rFonts w:ascii="Verdana" w:eastAsiaTheme="minorEastAsia" w:hAnsi="Verdana" w:cs="Verdana"/>
                <w:i/>
                <w:iCs/>
                <w:color w:val="000000"/>
                <w:sz w:val="14"/>
                <w:szCs w:val="14"/>
              </w:rPr>
              <w:t xml:space="preserve"> Se refiere a la parte inferior de la cavidad. Por ejemplo, en la cámara de los falsos techos se refiere al material situado en la cara superior de la membrana. En espacios con clara configuración vertical (por ejemplo, patinillos), así como cuando el falso techo esté constituido por una celosía, retícula o entramado abierto con una función acústica, decorativa, etc., esta condición no es aplicable.</w:t>
            </w:r>
          </w:p>
        </w:tc>
      </w:tr>
    </w:tbl>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b/>
          <w:bCs/>
          <w:color w:val="000000"/>
          <w:szCs w:val="26"/>
        </w:rPr>
      </w:pPr>
      <w:r w:rsidRPr="0031629F">
        <w:rPr>
          <w:rFonts w:ascii="Verdana" w:hAnsi="Verdana" w:cs="Verdana"/>
          <w:b/>
          <w:bCs/>
          <w:color w:val="000000"/>
          <w:sz w:val="20"/>
          <w:szCs w:val="24"/>
        </w:rPr>
        <w:t>EXIGENCIA BÁSICA SI 2: PROPAGACIÓN EXTERIOR</w:t>
      </w:r>
      <w:r w:rsidRPr="0031629F">
        <w:rPr>
          <w:rFonts w:ascii="Verdana" w:hAnsi="Verdana" w:cs="Verdana"/>
          <w:b/>
          <w:bCs/>
          <w:color w:val="000000"/>
          <w:szCs w:val="26"/>
        </w:rPr>
        <w:t xml:space="preserve"> </w:t>
      </w: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1.- MEDIANERÍAS Y FACHADAS</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En fachadas, se limita el riesgo de propagación exterior horizontal del incendio mediante el control de la separación mínima entre huecos de fachada pertenecientes a sectores de incendio distintos, entre zonas de riesgo especial alto y otras zonas, o hacia una escalera o pasillo protegido desde otras zonas, entendiendo que dichos huecos suponen áreas de fachada donde no se alcanza una resistencia al fuego mínima EI 60.</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En la separación con otros edificios colindantes, los puntos de la fachada del edificio considerado con una resistencia al fuego menor que EI 60, cumplen el 50% de la distancia exigida entre zonas con resistencia menor que EI 60, hasta la bisectriz del ángulo formado por las fachadas del edificio objeto y el colindante.</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p>
    <w:tbl>
      <w:tblPr>
        <w:tblW w:w="0" w:type="auto"/>
        <w:tblInd w:w="23" w:type="dxa"/>
        <w:tblLayout w:type="fixed"/>
        <w:tblCellMar>
          <w:top w:w="28" w:type="dxa"/>
          <w:left w:w="0" w:type="dxa"/>
          <w:bottom w:w="28" w:type="dxa"/>
          <w:right w:w="0" w:type="dxa"/>
        </w:tblCellMar>
        <w:tblLook w:val="0000"/>
      </w:tblPr>
      <w:tblGrid>
        <w:gridCol w:w="2083"/>
        <w:gridCol w:w="2002"/>
        <w:gridCol w:w="1783"/>
        <w:gridCol w:w="1399"/>
        <w:gridCol w:w="1181"/>
        <w:gridCol w:w="1361"/>
      </w:tblGrid>
      <w:tr w:rsidR="00C372F9" w:rsidRPr="00AC4AB8" w:rsidTr="00C372F9">
        <w:trPr>
          <w:trHeight w:hRule="exact" w:val="253"/>
        </w:trPr>
        <w:tc>
          <w:tcPr>
            <w:tcW w:w="9809" w:type="dxa"/>
            <w:gridSpan w:val="6"/>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b/>
                <w:bCs/>
                <w:color w:val="000000"/>
                <w:sz w:val="18"/>
                <w:szCs w:val="18"/>
              </w:rPr>
              <w:t>Propagación horizontal</w:t>
            </w:r>
          </w:p>
        </w:tc>
      </w:tr>
      <w:tr w:rsidR="00C372F9" w:rsidRPr="00AC4AB8" w:rsidTr="00C372F9">
        <w:trPr>
          <w:trHeight w:hRule="exact" w:val="253"/>
        </w:trPr>
        <w:tc>
          <w:tcPr>
            <w:tcW w:w="2083"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Plantas</w:t>
            </w:r>
          </w:p>
        </w:tc>
        <w:tc>
          <w:tcPr>
            <w:tcW w:w="2002"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Fachada </w:t>
            </w:r>
            <w:r w:rsidRPr="00AC4AB8">
              <w:rPr>
                <w:rFonts w:ascii="Verdana" w:eastAsiaTheme="minorEastAsia" w:hAnsi="Verdana" w:cs="Verdana"/>
                <w:color w:val="000000"/>
                <w:sz w:val="18"/>
                <w:szCs w:val="18"/>
                <w:vertAlign w:val="superscript"/>
              </w:rPr>
              <w:t>(1)</w:t>
            </w:r>
          </w:p>
        </w:tc>
        <w:tc>
          <w:tcPr>
            <w:tcW w:w="1783"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Separación </w:t>
            </w:r>
            <w:r w:rsidRPr="00AC4AB8">
              <w:rPr>
                <w:rFonts w:ascii="Verdana" w:eastAsiaTheme="minorEastAsia" w:hAnsi="Verdana" w:cs="Verdana"/>
                <w:color w:val="000000"/>
                <w:sz w:val="18"/>
                <w:szCs w:val="18"/>
                <w:vertAlign w:val="superscript"/>
              </w:rPr>
              <w:t>(2)</w:t>
            </w:r>
          </w:p>
        </w:tc>
        <w:tc>
          <w:tcPr>
            <w:tcW w:w="3941" w:type="dxa"/>
            <w:gridSpan w:val="3"/>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Separación horizontal mínima (m) </w:t>
            </w:r>
            <w:r w:rsidRPr="00AC4AB8">
              <w:rPr>
                <w:rFonts w:ascii="Verdana" w:eastAsiaTheme="minorEastAsia" w:hAnsi="Verdana" w:cs="Verdana"/>
                <w:color w:val="000000"/>
                <w:sz w:val="18"/>
                <w:szCs w:val="18"/>
                <w:vertAlign w:val="superscript"/>
              </w:rPr>
              <w:t>(3)</w:t>
            </w:r>
          </w:p>
        </w:tc>
      </w:tr>
      <w:tr w:rsidR="00C372F9" w:rsidRPr="00AC4AB8" w:rsidTr="00C372F9">
        <w:trPr>
          <w:trHeight w:hRule="exact" w:val="253"/>
        </w:trPr>
        <w:tc>
          <w:tcPr>
            <w:tcW w:w="2083"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2002"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1783"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139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Ángulo </w:t>
            </w:r>
            <w:r w:rsidRPr="00AC4AB8">
              <w:rPr>
                <w:rFonts w:ascii="Verdana" w:eastAsiaTheme="minorEastAsia" w:hAnsi="Verdana" w:cs="Verdana"/>
                <w:color w:val="000000"/>
                <w:sz w:val="18"/>
                <w:szCs w:val="18"/>
                <w:vertAlign w:val="superscript"/>
              </w:rPr>
              <w:t>(4)</w:t>
            </w:r>
          </w:p>
        </w:tc>
        <w:tc>
          <w:tcPr>
            <w:tcW w:w="118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Norma</w:t>
            </w:r>
          </w:p>
        </w:tc>
        <w:tc>
          <w:tcPr>
            <w:tcW w:w="136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Proyecto</w:t>
            </w:r>
          </w:p>
        </w:tc>
      </w:tr>
      <w:tr w:rsidR="00C372F9" w:rsidRPr="00AC4AB8" w:rsidTr="00C372F9">
        <w:trPr>
          <w:trHeight w:hRule="exact" w:val="253"/>
        </w:trPr>
        <w:tc>
          <w:tcPr>
            <w:tcW w:w="2083"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Planta baja</w:t>
            </w:r>
          </w:p>
        </w:tc>
        <w:tc>
          <w:tcPr>
            <w:tcW w:w="200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Fachada exterior</w:t>
            </w:r>
          </w:p>
        </w:tc>
        <w:tc>
          <w:tcPr>
            <w:tcW w:w="1783"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w:t>
            </w:r>
          </w:p>
        </w:tc>
        <w:tc>
          <w:tcPr>
            <w:tcW w:w="3941" w:type="dxa"/>
            <w:gridSpan w:val="3"/>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 procede</w:t>
            </w:r>
          </w:p>
        </w:tc>
      </w:tr>
      <w:tr w:rsidR="00C372F9" w:rsidRPr="00AC4AB8" w:rsidTr="00C372F9">
        <w:trPr>
          <w:trHeight w:hRule="exact" w:val="253"/>
        </w:trPr>
        <w:tc>
          <w:tcPr>
            <w:tcW w:w="2083"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Planta </w:t>
            </w:r>
            <w:r w:rsidR="00060F2C">
              <w:rPr>
                <w:rFonts w:ascii="Verdana" w:eastAsiaTheme="minorEastAsia" w:hAnsi="Verdana" w:cs="Verdana"/>
                <w:color w:val="000000"/>
                <w:sz w:val="18"/>
                <w:szCs w:val="18"/>
              </w:rPr>
              <w:t>Primera</w:t>
            </w:r>
          </w:p>
        </w:tc>
        <w:tc>
          <w:tcPr>
            <w:tcW w:w="200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Fachada exterior</w:t>
            </w:r>
          </w:p>
        </w:tc>
        <w:tc>
          <w:tcPr>
            <w:tcW w:w="1783"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w:t>
            </w:r>
          </w:p>
        </w:tc>
        <w:tc>
          <w:tcPr>
            <w:tcW w:w="3941" w:type="dxa"/>
            <w:gridSpan w:val="3"/>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 procede</w:t>
            </w:r>
          </w:p>
        </w:tc>
      </w:tr>
      <w:tr w:rsidR="00C372F9" w:rsidRPr="00AC4AB8" w:rsidTr="00C372F9">
        <w:trPr>
          <w:trHeight w:hRule="exact" w:val="1396"/>
        </w:trPr>
        <w:tc>
          <w:tcPr>
            <w:tcW w:w="9809" w:type="dxa"/>
            <w:gridSpan w:val="6"/>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rPr>
              <w:lastRenderedPageBreak/>
              <w:t>Notas:</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(1)</w:t>
            </w:r>
            <w:r w:rsidRPr="00AC4AB8">
              <w:rPr>
                <w:rFonts w:ascii="Verdana" w:eastAsiaTheme="minorEastAsia" w:hAnsi="Verdana" w:cs="Verdana"/>
                <w:i/>
                <w:iCs/>
                <w:color w:val="000000"/>
                <w:sz w:val="14"/>
                <w:szCs w:val="14"/>
              </w:rPr>
              <w:t xml:space="preserve"> Se muestran las fachadas del edificio que incluyen huecos donde no se alcanza una resistencia al fuego EI 60.</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(2)</w:t>
            </w:r>
            <w:r w:rsidRPr="00AC4AB8">
              <w:rPr>
                <w:rFonts w:ascii="Verdana" w:eastAsiaTheme="minorEastAsia" w:hAnsi="Verdana" w:cs="Verdana"/>
                <w:i/>
                <w:iCs/>
                <w:color w:val="000000"/>
                <w:sz w:val="14"/>
                <w:szCs w:val="14"/>
              </w:rPr>
              <w:t xml:space="preserve"> Se consideran aquí las separaciones entre diferentes sectores de incendio, entre zonas de riesgo especial alto y otras zonas o hacia una escalera o pasillo protegido desde otras zonas, según el punto 1.2 (CTE DB SI 2).</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(3)</w:t>
            </w:r>
            <w:r w:rsidRPr="00AC4AB8">
              <w:rPr>
                <w:rFonts w:ascii="Verdana" w:eastAsiaTheme="minorEastAsia" w:hAnsi="Verdana" w:cs="Verdana"/>
                <w:i/>
                <w:iCs/>
                <w:color w:val="000000"/>
                <w:sz w:val="14"/>
                <w:szCs w:val="14"/>
              </w:rPr>
              <w:t xml:space="preserve"> Distancia mínima en proyección horizontal 'd (m)', tomando valores intermedios mediante interpolación lineal en la tabla del punto 1.2 (CTE DB SI 2).</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(4)</w:t>
            </w:r>
            <w:r w:rsidRPr="00AC4AB8">
              <w:rPr>
                <w:rFonts w:ascii="Verdana" w:eastAsiaTheme="minorEastAsia" w:hAnsi="Verdana" w:cs="Verdana"/>
                <w:i/>
                <w:iCs/>
                <w:color w:val="000000"/>
                <w:sz w:val="14"/>
                <w:szCs w:val="14"/>
              </w:rPr>
              <w:t xml:space="preserve"> Ángulo formado por los planos exteriores de las fachadas consideradas, con un redondeo de 5°. Para fachadas paralelas y enfrentadas, se obtiene un valor de 0°.</w:t>
            </w:r>
          </w:p>
        </w:tc>
      </w:tr>
    </w:tbl>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La limitación del riesgo de propagación vertical del incendio por la fachada se efectúa reservando una franja de un metro de altura, como mínimo, con una resistencia al fuego mínima EI 60, en las uniones verticales entre sectores de incendio distintos, entre zonas de riesgo especial alto y otras zonas más altas del edificio, o bien hacia una escalera protegida o hacia un pasillo protegido desde otras zonas.</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En caso de existir elementos salientes aptos para impedir el paso de las llamas, la altura exigida a dicha franja puede reducirse en la dimensión del citado saliente.</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p>
    <w:tbl>
      <w:tblPr>
        <w:tblW w:w="0" w:type="auto"/>
        <w:tblInd w:w="23" w:type="dxa"/>
        <w:tblLayout w:type="fixed"/>
        <w:tblCellMar>
          <w:top w:w="28" w:type="dxa"/>
          <w:left w:w="0" w:type="dxa"/>
          <w:bottom w:w="28" w:type="dxa"/>
          <w:right w:w="0" w:type="dxa"/>
        </w:tblCellMar>
        <w:tblLook w:val="0000"/>
      </w:tblPr>
      <w:tblGrid>
        <w:gridCol w:w="3240"/>
        <w:gridCol w:w="2131"/>
        <w:gridCol w:w="1819"/>
        <w:gridCol w:w="1219"/>
        <w:gridCol w:w="1399"/>
      </w:tblGrid>
      <w:tr w:rsidR="00C372F9" w:rsidRPr="00AC4AB8" w:rsidTr="00C372F9">
        <w:trPr>
          <w:trHeight w:hRule="exact" w:val="253"/>
        </w:trPr>
        <w:tc>
          <w:tcPr>
            <w:tcW w:w="9808" w:type="dxa"/>
            <w:gridSpan w:val="5"/>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b/>
                <w:bCs/>
                <w:color w:val="000000"/>
                <w:sz w:val="18"/>
                <w:szCs w:val="18"/>
              </w:rPr>
              <w:t>Propagación vertical</w:t>
            </w:r>
          </w:p>
        </w:tc>
      </w:tr>
      <w:tr w:rsidR="00C372F9" w:rsidRPr="00AC4AB8" w:rsidTr="00C372F9">
        <w:trPr>
          <w:trHeight w:hRule="exact" w:val="471"/>
        </w:trPr>
        <w:tc>
          <w:tcPr>
            <w:tcW w:w="324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Planta</w:t>
            </w:r>
          </w:p>
        </w:tc>
        <w:tc>
          <w:tcPr>
            <w:tcW w:w="2131"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Fachada </w:t>
            </w:r>
            <w:r w:rsidRPr="00AC4AB8">
              <w:rPr>
                <w:rFonts w:ascii="Verdana" w:eastAsiaTheme="minorEastAsia" w:hAnsi="Verdana" w:cs="Verdana"/>
                <w:color w:val="000000"/>
                <w:sz w:val="18"/>
                <w:szCs w:val="18"/>
                <w:vertAlign w:val="superscript"/>
              </w:rPr>
              <w:t>(1)</w:t>
            </w:r>
          </w:p>
        </w:tc>
        <w:tc>
          <w:tcPr>
            <w:tcW w:w="1819"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Separación </w:t>
            </w:r>
            <w:r w:rsidRPr="00AC4AB8">
              <w:rPr>
                <w:rFonts w:ascii="Verdana" w:eastAsiaTheme="minorEastAsia" w:hAnsi="Verdana" w:cs="Verdana"/>
                <w:color w:val="000000"/>
                <w:sz w:val="18"/>
                <w:szCs w:val="18"/>
                <w:vertAlign w:val="superscript"/>
              </w:rPr>
              <w:t>(2)</w:t>
            </w:r>
          </w:p>
        </w:tc>
        <w:tc>
          <w:tcPr>
            <w:tcW w:w="2618"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Separación vertical mínima (m) </w:t>
            </w:r>
            <w:r w:rsidRPr="00AC4AB8">
              <w:rPr>
                <w:rFonts w:ascii="Verdana" w:eastAsiaTheme="minorEastAsia" w:hAnsi="Verdana" w:cs="Verdana"/>
                <w:color w:val="000000"/>
                <w:sz w:val="18"/>
                <w:szCs w:val="18"/>
                <w:vertAlign w:val="superscript"/>
              </w:rPr>
              <w:t>(3)</w:t>
            </w:r>
          </w:p>
        </w:tc>
      </w:tr>
      <w:tr w:rsidR="00C372F9" w:rsidRPr="00AC4AB8" w:rsidTr="00C372F9">
        <w:trPr>
          <w:trHeight w:hRule="exact" w:val="253"/>
        </w:trPr>
        <w:tc>
          <w:tcPr>
            <w:tcW w:w="324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2131"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1819"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p>
        </w:tc>
        <w:tc>
          <w:tcPr>
            <w:tcW w:w="121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Norma</w:t>
            </w:r>
          </w:p>
        </w:tc>
        <w:tc>
          <w:tcPr>
            <w:tcW w:w="139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Proyecto</w:t>
            </w:r>
          </w:p>
        </w:tc>
      </w:tr>
      <w:tr w:rsidR="00C372F9" w:rsidRPr="00AC4AB8" w:rsidTr="00C372F9">
        <w:trPr>
          <w:trHeight w:hRule="exact" w:val="253"/>
        </w:trPr>
        <w:tc>
          <w:tcPr>
            <w:tcW w:w="324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 xml:space="preserve">Planta baja - Planta </w:t>
            </w:r>
            <w:r w:rsidR="00060F2C">
              <w:rPr>
                <w:rFonts w:ascii="Verdana" w:eastAsiaTheme="minorEastAsia" w:hAnsi="Verdana" w:cs="Verdana"/>
                <w:color w:val="000000"/>
                <w:sz w:val="18"/>
                <w:szCs w:val="18"/>
              </w:rPr>
              <w:t>Primera</w:t>
            </w:r>
          </w:p>
        </w:tc>
        <w:tc>
          <w:tcPr>
            <w:tcW w:w="213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Fachada exterior</w:t>
            </w:r>
          </w:p>
        </w:tc>
        <w:tc>
          <w:tcPr>
            <w:tcW w:w="181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w:t>
            </w:r>
          </w:p>
        </w:tc>
        <w:tc>
          <w:tcPr>
            <w:tcW w:w="2618" w:type="dxa"/>
            <w:gridSpan w:val="2"/>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C372F9" w:rsidRPr="00AC4AB8" w:rsidRDefault="00C372F9" w:rsidP="00C372F9">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 procede</w:t>
            </w:r>
          </w:p>
        </w:tc>
      </w:tr>
      <w:tr w:rsidR="00C372F9" w:rsidRPr="00AC4AB8" w:rsidTr="00C372F9">
        <w:trPr>
          <w:trHeight w:hRule="exact" w:val="1226"/>
        </w:trPr>
        <w:tc>
          <w:tcPr>
            <w:tcW w:w="9808" w:type="dxa"/>
            <w:gridSpan w:val="5"/>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rsidR="00C372F9" w:rsidRPr="00AC4AB8" w:rsidRDefault="00C372F9" w:rsidP="00C372F9">
            <w:pPr>
              <w:widowControl w:val="0"/>
              <w:autoSpaceDE w:val="0"/>
              <w:autoSpaceDN w:val="0"/>
              <w:adjustRightInd w:val="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rPr>
              <w:t>Notas:</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(1)</w:t>
            </w:r>
            <w:r w:rsidRPr="00AC4AB8">
              <w:rPr>
                <w:rFonts w:ascii="Verdana" w:eastAsiaTheme="minorEastAsia" w:hAnsi="Verdana" w:cs="Verdana"/>
                <w:i/>
                <w:iCs/>
                <w:color w:val="000000"/>
                <w:sz w:val="14"/>
                <w:szCs w:val="14"/>
              </w:rPr>
              <w:t xml:space="preserve"> Se muestran las fachadas del edificio que incluyen huecos donde no se alcanza una resistencia al fuego EI 60.</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(2)</w:t>
            </w:r>
            <w:r w:rsidRPr="00AC4AB8">
              <w:rPr>
                <w:rFonts w:ascii="Verdana" w:eastAsiaTheme="minorEastAsia" w:hAnsi="Verdana" w:cs="Verdana"/>
                <w:i/>
                <w:iCs/>
                <w:color w:val="000000"/>
                <w:sz w:val="14"/>
                <w:szCs w:val="14"/>
              </w:rPr>
              <w:t xml:space="preserve"> Se consideran aquí las separaciones entre diferentes sectores de incendio, entre zonas de riesgo especial alto y otras zonas o hacia una escalera o pasillo protegido desde otras zonas, según el punto 1.3 (CTE DB SI 2).</w:t>
            </w:r>
          </w:p>
          <w:p w:rsidR="00C372F9" w:rsidRPr="00AC4AB8" w:rsidRDefault="00C372F9" w:rsidP="00C372F9">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(3)</w:t>
            </w:r>
            <w:r w:rsidRPr="00AC4AB8">
              <w:rPr>
                <w:rFonts w:ascii="Verdana" w:eastAsiaTheme="minorEastAsia" w:hAnsi="Verdana" w:cs="Verdana"/>
                <w:i/>
                <w:iCs/>
                <w:color w:val="000000"/>
                <w:sz w:val="14"/>
                <w:szCs w:val="14"/>
              </w:rPr>
              <w:t xml:space="preserve"> Separación vertical mínima ('d (m)') entre zonas de fachada con resistencia al fuego menor que EI 60, minorada con la dimensión de los elementos salientes aptos para impedir el paso de las llamas ('b') mediante la fórmula d </w:t>
            </w:r>
            <w:r w:rsidRPr="00AC4AB8">
              <w:rPr>
                <w:rFonts w:ascii="Symbol" w:eastAsiaTheme="minorEastAsia" w:hAnsi="Symbol" w:cs="Symbol"/>
                <w:i/>
                <w:iCs/>
                <w:color w:val="000000"/>
                <w:sz w:val="14"/>
                <w:szCs w:val="14"/>
              </w:rPr>
              <w:t></w:t>
            </w:r>
            <w:r w:rsidRPr="00AC4AB8">
              <w:rPr>
                <w:rFonts w:ascii="Verdana" w:eastAsiaTheme="minorEastAsia" w:hAnsi="Verdana" w:cs="Verdana"/>
                <w:i/>
                <w:iCs/>
                <w:color w:val="000000"/>
                <w:sz w:val="14"/>
                <w:szCs w:val="14"/>
              </w:rPr>
              <w:t xml:space="preserve"> 1 - b (m), según el punto 1.3 (CTE DB SI 2).</w:t>
            </w:r>
          </w:p>
        </w:tc>
      </w:tr>
    </w:tbl>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La clase de reacción al fuego de los materiales que ocupen más del 10% de la superficie del acabado exterior de las fachadas o de las superficies interiores de las cámaras ventiladas que dichas fachadas puedan tener, será B-s3 d2 o mejor hasta una altura de 3,5 m como mínimo, en aquellas fachadas cuyo arranque inferior sea accesible al público, desde la rasante exterior o desde una cubierta; y en toda la altura de la fachada cuando ésta tenga una altura superior a 18 m, con independencia de dónde se encuentre su arranque.</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2.- CUBIERTAS</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No existe en el edificio riesgo alguno de propagación del incendio entre zonas de cubierta con huecos y huecos dispuestos en fachadas superiores del edificio, pertenecientes a sectores de incendio o a edificios diferentes, de acuerdo al punto 2.2 de CTE DB SI 2.</w:t>
      </w:r>
    </w:p>
    <w:p w:rsidR="00C372F9" w:rsidRDefault="00C372F9" w:rsidP="00C372F9">
      <w:pPr>
        <w:widowControl w:val="0"/>
        <w:autoSpaceDE w:val="0"/>
        <w:autoSpaceDN w:val="0"/>
        <w:adjustRightInd w:val="0"/>
        <w:spacing w:before="119" w:after="62"/>
        <w:rPr>
          <w:rFonts w:ascii="Verdana" w:hAnsi="Verdana" w:cs="Verdana"/>
          <w:b/>
          <w:bCs/>
          <w:color w:val="000000"/>
          <w:sz w:val="23"/>
          <w:szCs w:val="23"/>
        </w:rPr>
      </w:pPr>
    </w:p>
    <w:p w:rsidR="00C372F9" w:rsidRPr="0031629F" w:rsidRDefault="00C372F9" w:rsidP="00C372F9">
      <w:pPr>
        <w:widowControl w:val="0"/>
        <w:autoSpaceDE w:val="0"/>
        <w:autoSpaceDN w:val="0"/>
        <w:adjustRightInd w:val="0"/>
        <w:spacing w:before="119" w:after="62"/>
        <w:rPr>
          <w:rFonts w:ascii="Verdana" w:hAnsi="Verdana" w:cs="Verdana"/>
          <w:b/>
          <w:bCs/>
          <w:color w:val="000000"/>
          <w:sz w:val="28"/>
          <w:szCs w:val="26"/>
        </w:rPr>
      </w:pPr>
      <w:r w:rsidRPr="0031629F">
        <w:rPr>
          <w:rFonts w:ascii="Verdana" w:hAnsi="Verdana" w:cs="Verdana"/>
          <w:b/>
          <w:bCs/>
          <w:color w:val="000000"/>
          <w:sz w:val="24"/>
          <w:szCs w:val="23"/>
        </w:rPr>
        <w:t>EXIGENCIA BÁSICA SI 3: EVACUACIÓN DE OCUPANTES</w:t>
      </w:r>
      <w:r w:rsidRPr="0031629F">
        <w:rPr>
          <w:rFonts w:ascii="Verdana" w:hAnsi="Verdana" w:cs="Verdana"/>
          <w:b/>
          <w:bCs/>
          <w:color w:val="000000"/>
          <w:sz w:val="28"/>
          <w:szCs w:val="26"/>
        </w:rPr>
        <w:t xml:space="preserve"> </w:t>
      </w: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1.- COMPATIBILIDAD DE LOS ELEMENTOS DE EVACUACIÓN</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Los elementos de evacuación del edificio no deben cumplir ninguna condición especial de las definidas en el apartado 1 (DB SI 3), al no estar previsto en él ningún establecimiento de uso 'Comercial' o 'Pública Concurrencia', ni establecimientos de uso 'Hospitalario', 'Residencial Público' o 'Administrativo', de superficie construida mayor de 1500 m².</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2.- CÁLCULO DE OCUPACIÓN, SALIDAS Y RECORRIDOS DE EVACUACIÓN</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El cálculo de la ocupación del edificio se ha resuelto mediante la aplicación de los valores de densidad de ocupación indicados en la tabla 2.1 (DB SI 3), en función del uso y superficie útil de cad</w:t>
      </w:r>
      <w:r w:rsidR="00CD38B3">
        <w:rPr>
          <w:rFonts w:ascii="Verdana" w:hAnsi="Verdana" w:cs="Verdana"/>
          <w:color w:val="000000"/>
          <w:sz w:val="18"/>
          <w:szCs w:val="18"/>
        </w:rPr>
        <w:t>a zona de incendio del edificio, teniendo en cuenta los aforos de actividad en el cómputo de evacuaciones.</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En el recuento de las superficies útiles para la aplicación de las densidades de ocupación, se ha tenido en cuenta el carácter simultáneo o alternativo de las distintas zonas del edificio, según el régimen de actividad y uso previsto del mismo, de acuerdo al punto 2.2 (DB SI 3).</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El número de salidas necesarias y la longitud máxima de los recorridos de evacuación asociados, se determinan según lo expuesto en la tabla 3.1 (DB SI 3), en función de la ocupación calculada. En los casos donde se necesite o proyecte más de una salida, se aplican las hipótesis de asignación de ocupantes del punto 4.1 (DB SI 3), tanto para la inutilización de salidas a efectos de cálculo de capacidad de las escaleras, como para la determinación del ancho necesario de las salidas, establecido conforme a lo indicado en la tabla 4.1 (DB SI 3).</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En la planta de desembarco de las escaleras, se añade a los recorridos de evacuación el flujo de personas que proviene de las mismas, con un máximo de 160 A personas (siendo 'A' la anchura, en metros, del desembarco de la escalera), según el punto 4.1.3 (DB SI 3); y considerando el posible carácter alternativo de la ocupación que desalojan, si ésta proviene de zonas del edificio no ocupables simultáneamente, según el punto 2.2 (DB SI 3).</w:t>
      </w:r>
    </w:p>
    <w:p w:rsidR="00CD38B3" w:rsidRDefault="00CD38B3"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La ocupación total y asignación de salidas es la que sigue:</w:t>
      </w:r>
    </w:p>
    <w:p w:rsidR="00CD38B3" w:rsidRDefault="00CD38B3" w:rsidP="00C372F9">
      <w:pPr>
        <w:widowControl w:val="0"/>
        <w:autoSpaceDE w:val="0"/>
        <w:autoSpaceDN w:val="0"/>
        <w:adjustRightInd w:val="0"/>
        <w:rPr>
          <w:rFonts w:ascii="Verdana" w:hAnsi="Verdana" w:cs="Verdana"/>
          <w:color w:val="000000"/>
          <w:sz w:val="18"/>
          <w:szCs w:val="18"/>
        </w:rPr>
      </w:pPr>
    </w:p>
    <w:tbl>
      <w:tblPr>
        <w:tblW w:w="8876" w:type="dxa"/>
        <w:tblInd w:w="51" w:type="dxa"/>
        <w:tblCellMar>
          <w:left w:w="70" w:type="dxa"/>
          <w:right w:w="70" w:type="dxa"/>
        </w:tblCellMar>
        <w:tblLook w:val="04A0"/>
      </w:tblPr>
      <w:tblGrid>
        <w:gridCol w:w="1839"/>
        <w:gridCol w:w="1919"/>
        <w:gridCol w:w="2478"/>
        <w:gridCol w:w="1333"/>
        <w:gridCol w:w="1307"/>
      </w:tblGrid>
      <w:tr w:rsidR="00CD38B3" w:rsidRPr="00CD38B3" w:rsidTr="00CD38B3">
        <w:trPr>
          <w:trHeight w:val="300"/>
        </w:trPr>
        <w:tc>
          <w:tcPr>
            <w:tcW w:w="1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 xml:space="preserve">Planta </w:t>
            </w:r>
          </w:p>
        </w:tc>
        <w:tc>
          <w:tcPr>
            <w:tcW w:w="1919" w:type="dxa"/>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Recinto</w:t>
            </w:r>
          </w:p>
        </w:tc>
        <w:tc>
          <w:tcPr>
            <w:tcW w:w="2478" w:type="dxa"/>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Ocupación</w:t>
            </w:r>
          </w:p>
        </w:tc>
        <w:tc>
          <w:tcPr>
            <w:tcW w:w="1333" w:type="dxa"/>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Evac1</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Evac fin</w:t>
            </w:r>
          </w:p>
        </w:tc>
      </w:tr>
      <w:tr w:rsidR="00CD38B3" w:rsidRPr="00CD38B3" w:rsidTr="00CD38B3">
        <w:trPr>
          <w:trHeight w:val="300"/>
        </w:trPr>
        <w:tc>
          <w:tcPr>
            <w:tcW w:w="18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PRIMERA</w:t>
            </w: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Biblioteca</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Incompatible* (40)</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1</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Medio grupo 1</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1</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Medio grupo 2</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1</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Medio grupo 3</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1</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1</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1</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2</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1</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3</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2</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4</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2</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5</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2</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6</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2</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Almacén</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Ocasional</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2</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Baño1</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Ocasional</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2</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Baño2</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Ocasional</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 2</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BAJA</w:t>
            </w: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Medio grupo 1</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Medio grupo 2</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Medio grupo 3</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1</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2</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3</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4</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5</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Primaria 6</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27</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Ampa</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6</w:t>
            </w:r>
          </w:p>
        </w:tc>
        <w:tc>
          <w:tcPr>
            <w:tcW w:w="2640" w:type="dxa"/>
            <w:gridSpan w:val="2"/>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Directa</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Baño1</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Ocasional</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Baño2</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Ocasional</w:t>
            </w:r>
          </w:p>
        </w:tc>
        <w:tc>
          <w:tcPr>
            <w:tcW w:w="133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w:t>
            </w:r>
          </w:p>
        </w:tc>
        <w:tc>
          <w:tcPr>
            <w:tcW w:w="1307"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Grupo PCI</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Ocasional</w:t>
            </w:r>
          </w:p>
        </w:tc>
        <w:tc>
          <w:tcPr>
            <w:tcW w:w="2640" w:type="dxa"/>
            <w:gridSpan w:val="2"/>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Directa</w:t>
            </w:r>
          </w:p>
        </w:tc>
      </w:tr>
      <w:tr w:rsidR="00CD38B3" w:rsidRPr="00CD38B3" w:rsidTr="00CD38B3">
        <w:trPr>
          <w:trHeight w:val="300"/>
        </w:trPr>
        <w:tc>
          <w:tcPr>
            <w:tcW w:w="1839" w:type="dxa"/>
            <w:vMerge/>
            <w:tcBorders>
              <w:top w:val="nil"/>
              <w:left w:val="single" w:sz="4" w:space="0" w:color="auto"/>
              <w:bottom w:val="single" w:sz="4" w:space="0" w:color="auto"/>
              <w:right w:val="single" w:sz="4" w:space="0" w:color="auto"/>
            </w:tcBorders>
            <w:vAlign w:val="center"/>
            <w:hideMark/>
          </w:tcPr>
          <w:p w:rsidR="00CD38B3" w:rsidRPr="00CD38B3" w:rsidRDefault="00CD38B3" w:rsidP="00CD38B3">
            <w:pPr>
              <w:jc w:val="left"/>
              <w:rPr>
                <w:rFonts w:ascii="Calibri" w:hAnsi="Calibri"/>
                <w:b/>
                <w:bCs/>
                <w:color w:val="000000"/>
                <w:szCs w:val="22"/>
              </w:rPr>
            </w:pPr>
          </w:p>
        </w:tc>
        <w:tc>
          <w:tcPr>
            <w:tcW w:w="1919"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Caldera</w:t>
            </w:r>
          </w:p>
        </w:tc>
        <w:tc>
          <w:tcPr>
            <w:tcW w:w="247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Ocasional</w:t>
            </w:r>
          </w:p>
        </w:tc>
        <w:tc>
          <w:tcPr>
            <w:tcW w:w="2640" w:type="dxa"/>
            <w:gridSpan w:val="2"/>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Directa</w:t>
            </w:r>
          </w:p>
        </w:tc>
      </w:tr>
      <w:tr w:rsidR="00CD38B3" w:rsidRPr="00CD38B3" w:rsidTr="00CD38B3">
        <w:trPr>
          <w:trHeight w:val="300"/>
        </w:trPr>
        <w:tc>
          <w:tcPr>
            <w:tcW w:w="8876" w:type="dxa"/>
            <w:gridSpan w:val="5"/>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 Se tiene en cuenta para el cómputo de pésimos en las evacuaciones, pero no aporta ocupación al total por tratarse de un recinto de actividad incompatible con las ocupaciones de aulas</w:t>
            </w:r>
          </w:p>
        </w:tc>
      </w:tr>
    </w:tbl>
    <w:p w:rsidR="00C372F9" w:rsidRDefault="00C372F9"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De acuerdo con los recorridos indicados en los planos, las evacuaciones de las escaleras implicadas en las evacuaciones de la presente ampliación son las siguientes:</w:t>
      </w:r>
    </w:p>
    <w:p w:rsidR="00CD38B3" w:rsidRDefault="00CD38B3">
      <w:pPr>
        <w:jc w:val="left"/>
        <w:rPr>
          <w:rFonts w:ascii="Verdana" w:hAnsi="Verdana" w:cs="Verdana"/>
          <w:color w:val="000000"/>
          <w:sz w:val="18"/>
          <w:szCs w:val="18"/>
        </w:rPr>
      </w:pPr>
      <w:r>
        <w:rPr>
          <w:rFonts w:ascii="Verdana" w:hAnsi="Verdana" w:cs="Verdana"/>
          <w:color w:val="000000"/>
          <w:sz w:val="18"/>
          <w:szCs w:val="18"/>
        </w:rPr>
        <w:br w:type="page"/>
      </w:r>
    </w:p>
    <w:p w:rsidR="00CD38B3" w:rsidRDefault="00CD38B3"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p>
    <w:tbl>
      <w:tblPr>
        <w:tblW w:w="4640" w:type="dxa"/>
        <w:tblInd w:w="51" w:type="dxa"/>
        <w:tblCellMar>
          <w:left w:w="70" w:type="dxa"/>
          <w:right w:w="70" w:type="dxa"/>
        </w:tblCellMar>
        <w:tblLook w:val="04A0"/>
      </w:tblPr>
      <w:tblGrid>
        <w:gridCol w:w="1520"/>
        <w:gridCol w:w="960"/>
        <w:gridCol w:w="2160"/>
      </w:tblGrid>
      <w:tr w:rsidR="00CD38B3" w:rsidRPr="00CD38B3" w:rsidTr="00CD38B3">
        <w:trPr>
          <w:trHeight w:val="3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Evacuaciones de escalera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 </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Con biblioteca</w:t>
            </w:r>
          </w:p>
        </w:tc>
      </w:tr>
      <w:tr w:rsidR="00CD38B3" w:rsidRPr="00CD38B3" w:rsidTr="00CD38B3">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Escalera1</w:t>
            </w:r>
          </w:p>
        </w:tc>
        <w:tc>
          <w:tcPr>
            <w:tcW w:w="960"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93</w:t>
            </w:r>
          </w:p>
        </w:tc>
        <w:tc>
          <w:tcPr>
            <w:tcW w:w="2160"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133</w:t>
            </w:r>
          </w:p>
        </w:tc>
      </w:tr>
      <w:tr w:rsidR="00CD38B3" w:rsidRPr="00CD38B3" w:rsidTr="00CD38B3">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Escalera2</w:t>
            </w:r>
          </w:p>
        </w:tc>
        <w:tc>
          <w:tcPr>
            <w:tcW w:w="960"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108</w:t>
            </w:r>
          </w:p>
        </w:tc>
        <w:tc>
          <w:tcPr>
            <w:tcW w:w="2160"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108</w:t>
            </w:r>
          </w:p>
        </w:tc>
      </w:tr>
    </w:tbl>
    <w:p w:rsidR="00CD38B3" w:rsidRDefault="00CD38B3"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En esta Fase III, el cómputo de ocupantes asignados a cada salida es la siguiente:</w:t>
      </w:r>
    </w:p>
    <w:p w:rsidR="00CD38B3" w:rsidRDefault="00CD38B3" w:rsidP="00C372F9">
      <w:pPr>
        <w:widowControl w:val="0"/>
        <w:autoSpaceDE w:val="0"/>
        <w:autoSpaceDN w:val="0"/>
        <w:adjustRightInd w:val="0"/>
        <w:rPr>
          <w:rFonts w:ascii="Verdana" w:hAnsi="Verdana" w:cs="Verdana"/>
          <w:color w:val="000000"/>
          <w:sz w:val="18"/>
          <w:szCs w:val="18"/>
        </w:rPr>
      </w:pPr>
    </w:p>
    <w:tbl>
      <w:tblPr>
        <w:tblW w:w="464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20"/>
        <w:gridCol w:w="960"/>
        <w:gridCol w:w="2160"/>
      </w:tblGrid>
      <w:tr w:rsidR="00CD38B3" w:rsidRPr="00CD38B3" w:rsidTr="00CD38B3">
        <w:trPr>
          <w:trHeight w:val="300"/>
        </w:trPr>
        <w:tc>
          <w:tcPr>
            <w:tcW w:w="1520" w:type="dxa"/>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Cálculo salidas</w:t>
            </w:r>
          </w:p>
        </w:tc>
        <w:tc>
          <w:tcPr>
            <w:tcW w:w="960" w:type="dxa"/>
            <w:shd w:val="clear" w:color="auto" w:fill="auto"/>
            <w:noWrap/>
            <w:vAlign w:val="bottom"/>
            <w:hideMark/>
          </w:tcPr>
          <w:p w:rsidR="00CD38B3" w:rsidRPr="00CD38B3" w:rsidRDefault="00CD38B3" w:rsidP="00CD38B3">
            <w:pPr>
              <w:jc w:val="center"/>
              <w:rPr>
                <w:rFonts w:ascii="Calibri" w:hAnsi="Calibri"/>
                <w:b/>
                <w:bCs/>
                <w:color w:val="000000"/>
                <w:szCs w:val="22"/>
              </w:rPr>
            </w:pPr>
          </w:p>
        </w:tc>
        <w:tc>
          <w:tcPr>
            <w:tcW w:w="2160" w:type="dxa"/>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Pésimo con biblioteca</w:t>
            </w:r>
          </w:p>
        </w:tc>
      </w:tr>
      <w:tr w:rsidR="00CD38B3" w:rsidRPr="00CD38B3" w:rsidTr="00CD38B3">
        <w:trPr>
          <w:trHeight w:val="300"/>
        </w:trPr>
        <w:tc>
          <w:tcPr>
            <w:tcW w:w="1520" w:type="dxa"/>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c>
          <w:tcPr>
            <w:tcW w:w="960" w:type="dxa"/>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186</w:t>
            </w:r>
          </w:p>
        </w:tc>
        <w:tc>
          <w:tcPr>
            <w:tcW w:w="2160" w:type="dxa"/>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226</w:t>
            </w:r>
          </w:p>
        </w:tc>
      </w:tr>
      <w:tr w:rsidR="00CD38B3" w:rsidRPr="00CD38B3" w:rsidTr="00CD38B3">
        <w:trPr>
          <w:trHeight w:val="300"/>
        </w:trPr>
        <w:tc>
          <w:tcPr>
            <w:tcW w:w="1520" w:type="dxa"/>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c>
          <w:tcPr>
            <w:tcW w:w="960" w:type="dxa"/>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216</w:t>
            </w:r>
          </w:p>
        </w:tc>
        <w:tc>
          <w:tcPr>
            <w:tcW w:w="2160" w:type="dxa"/>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176</w:t>
            </w:r>
          </w:p>
        </w:tc>
      </w:tr>
      <w:tr w:rsidR="00CD38B3" w:rsidRPr="00CD38B3" w:rsidTr="00CD38B3">
        <w:trPr>
          <w:trHeight w:val="300"/>
        </w:trPr>
        <w:tc>
          <w:tcPr>
            <w:tcW w:w="1520" w:type="dxa"/>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SALIDA03</w:t>
            </w:r>
          </w:p>
        </w:tc>
        <w:tc>
          <w:tcPr>
            <w:tcW w:w="960" w:type="dxa"/>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6</w:t>
            </w:r>
          </w:p>
        </w:tc>
        <w:tc>
          <w:tcPr>
            <w:tcW w:w="2160" w:type="dxa"/>
            <w:shd w:val="clear" w:color="auto" w:fill="auto"/>
            <w:noWrap/>
            <w:vAlign w:val="bottom"/>
            <w:hideMark/>
          </w:tcPr>
          <w:p w:rsidR="00CD38B3" w:rsidRPr="00CD38B3" w:rsidRDefault="00CD38B3" w:rsidP="00CD38B3">
            <w:pPr>
              <w:jc w:val="center"/>
              <w:rPr>
                <w:rFonts w:ascii="Calibri" w:hAnsi="Calibri"/>
                <w:color w:val="000000"/>
                <w:szCs w:val="22"/>
              </w:rPr>
            </w:pPr>
          </w:p>
        </w:tc>
      </w:tr>
    </w:tbl>
    <w:p w:rsidR="00CD38B3" w:rsidRDefault="00CD38B3"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Teniendo en cuenta la hipótesis de bloqueo en escaleras y salidas, tenemos que:</w:t>
      </w:r>
    </w:p>
    <w:p w:rsidR="00CD38B3" w:rsidRDefault="00CD38B3"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p>
    <w:tbl>
      <w:tblPr>
        <w:tblW w:w="9740" w:type="dxa"/>
        <w:tblInd w:w="51" w:type="dxa"/>
        <w:tblCellMar>
          <w:left w:w="70" w:type="dxa"/>
          <w:right w:w="70" w:type="dxa"/>
        </w:tblCellMar>
        <w:tblLook w:val="04A0"/>
      </w:tblPr>
      <w:tblGrid>
        <w:gridCol w:w="2252"/>
        <w:gridCol w:w="1943"/>
        <w:gridCol w:w="2275"/>
        <w:gridCol w:w="1912"/>
        <w:gridCol w:w="1358"/>
      </w:tblGrid>
      <w:tr w:rsidR="00CD38B3" w:rsidRPr="00CD38B3" w:rsidTr="00CD38B3">
        <w:trPr>
          <w:trHeight w:val="300"/>
        </w:trPr>
        <w:tc>
          <w:tcPr>
            <w:tcW w:w="9740" w:type="dxa"/>
            <w:gridSpan w:val="5"/>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b/>
                <w:bCs/>
                <w:i/>
                <w:iCs/>
                <w:color w:val="000000"/>
                <w:szCs w:val="22"/>
              </w:rPr>
            </w:pPr>
            <w:r w:rsidRPr="00CD38B3">
              <w:rPr>
                <w:rFonts w:ascii="Calibri" w:hAnsi="Calibri"/>
                <w:b/>
                <w:bCs/>
                <w:i/>
                <w:iCs/>
                <w:color w:val="000000"/>
                <w:szCs w:val="22"/>
              </w:rPr>
              <w:t>Hipótesis de bloqueo</w:t>
            </w:r>
          </w:p>
        </w:tc>
      </w:tr>
      <w:tr w:rsidR="00CD38B3" w:rsidRPr="00CD38B3" w:rsidTr="00CD38B3">
        <w:trPr>
          <w:trHeight w:val="300"/>
        </w:trPr>
        <w:tc>
          <w:tcPr>
            <w:tcW w:w="2252"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c>
          <w:tcPr>
            <w:tcW w:w="1943" w:type="dxa"/>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color w:val="000000"/>
                <w:szCs w:val="22"/>
              </w:rPr>
            </w:pPr>
          </w:p>
        </w:tc>
        <w:tc>
          <w:tcPr>
            <w:tcW w:w="2275" w:type="dxa"/>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color w:val="000000"/>
                <w:szCs w:val="22"/>
              </w:rPr>
            </w:pPr>
          </w:p>
        </w:tc>
        <w:tc>
          <w:tcPr>
            <w:tcW w:w="1912"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c>
          <w:tcPr>
            <w:tcW w:w="1358"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r>
      <w:tr w:rsidR="00CD38B3" w:rsidRPr="00CD38B3" w:rsidTr="00CD38B3">
        <w:trPr>
          <w:trHeight w:val="300"/>
        </w:trPr>
        <w:tc>
          <w:tcPr>
            <w:tcW w:w="97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Bloqueo de escaleras</w:t>
            </w:r>
          </w:p>
        </w:tc>
      </w:tr>
      <w:tr w:rsidR="00CD38B3" w:rsidRPr="00CD38B3" w:rsidTr="00CD38B3">
        <w:trPr>
          <w:trHeight w:val="300"/>
        </w:trPr>
        <w:tc>
          <w:tcPr>
            <w:tcW w:w="2252"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Bloqueo</w:t>
            </w:r>
          </w:p>
        </w:tc>
        <w:tc>
          <w:tcPr>
            <w:tcW w:w="194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evacuación por</w:t>
            </w:r>
          </w:p>
        </w:tc>
        <w:tc>
          <w:tcPr>
            <w:tcW w:w="2275"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personas</w:t>
            </w:r>
          </w:p>
        </w:tc>
        <w:tc>
          <w:tcPr>
            <w:tcW w:w="1912"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ancho necesario</w:t>
            </w:r>
          </w:p>
        </w:tc>
        <w:tc>
          <w:tcPr>
            <w:tcW w:w="135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proyectado</w:t>
            </w:r>
          </w:p>
        </w:tc>
      </w:tr>
      <w:tr w:rsidR="00CD38B3" w:rsidRPr="00CD38B3" w:rsidTr="00CD38B3">
        <w:trPr>
          <w:trHeight w:val="300"/>
        </w:trPr>
        <w:tc>
          <w:tcPr>
            <w:tcW w:w="2252"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Escalera1</w:t>
            </w:r>
          </w:p>
        </w:tc>
        <w:tc>
          <w:tcPr>
            <w:tcW w:w="194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escalera2</w:t>
            </w:r>
          </w:p>
        </w:tc>
        <w:tc>
          <w:tcPr>
            <w:tcW w:w="2275"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201</w:t>
            </w:r>
          </w:p>
        </w:tc>
        <w:tc>
          <w:tcPr>
            <w:tcW w:w="1912"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1,26</w:t>
            </w:r>
          </w:p>
        </w:tc>
        <w:tc>
          <w:tcPr>
            <w:tcW w:w="135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1,6</w:t>
            </w:r>
          </w:p>
        </w:tc>
      </w:tr>
      <w:tr w:rsidR="00CD38B3" w:rsidRPr="00CD38B3" w:rsidTr="00CD38B3">
        <w:trPr>
          <w:trHeight w:val="300"/>
        </w:trPr>
        <w:tc>
          <w:tcPr>
            <w:tcW w:w="2252"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Escalera2</w:t>
            </w:r>
          </w:p>
        </w:tc>
        <w:tc>
          <w:tcPr>
            <w:tcW w:w="194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escalera1</w:t>
            </w:r>
          </w:p>
        </w:tc>
        <w:tc>
          <w:tcPr>
            <w:tcW w:w="2275"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201</w:t>
            </w:r>
          </w:p>
        </w:tc>
        <w:tc>
          <w:tcPr>
            <w:tcW w:w="1912"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1,26</w:t>
            </w:r>
          </w:p>
        </w:tc>
        <w:tc>
          <w:tcPr>
            <w:tcW w:w="135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1,6</w:t>
            </w:r>
          </w:p>
        </w:tc>
      </w:tr>
      <w:tr w:rsidR="00CD38B3" w:rsidRPr="00CD38B3" w:rsidTr="00CD38B3">
        <w:trPr>
          <w:trHeight w:val="300"/>
        </w:trPr>
        <w:tc>
          <w:tcPr>
            <w:tcW w:w="2252"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c>
          <w:tcPr>
            <w:tcW w:w="1943" w:type="dxa"/>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color w:val="000000"/>
                <w:szCs w:val="22"/>
              </w:rPr>
            </w:pPr>
          </w:p>
        </w:tc>
        <w:tc>
          <w:tcPr>
            <w:tcW w:w="2275" w:type="dxa"/>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color w:val="000000"/>
                <w:szCs w:val="22"/>
              </w:rPr>
            </w:pPr>
          </w:p>
        </w:tc>
        <w:tc>
          <w:tcPr>
            <w:tcW w:w="1912"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c>
          <w:tcPr>
            <w:tcW w:w="1358"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r>
      <w:tr w:rsidR="00CD38B3" w:rsidRPr="00CD38B3" w:rsidTr="00CD38B3">
        <w:trPr>
          <w:trHeight w:val="300"/>
        </w:trPr>
        <w:tc>
          <w:tcPr>
            <w:tcW w:w="97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Bloqueo salidas</w:t>
            </w:r>
          </w:p>
        </w:tc>
      </w:tr>
      <w:tr w:rsidR="00CD38B3" w:rsidRPr="00CD38B3" w:rsidTr="00CD38B3">
        <w:trPr>
          <w:trHeight w:val="300"/>
        </w:trPr>
        <w:tc>
          <w:tcPr>
            <w:tcW w:w="2252"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Bloqueo</w:t>
            </w:r>
          </w:p>
        </w:tc>
        <w:tc>
          <w:tcPr>
            <w:tcW w:w="194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evacuación por</w:t>
            </w:r>
          </w:p>
        </w:tc>
        <w:tc>
          <w:tcPr>
            <w:tcW w:w="2275"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personas por salida</w:t>
            </w:r>
          </w:p>
        </w:tc>
        <w:tc>
          <w:tcPr>
            <w:tcW w:w="1912"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ancho necesario</w:t>
            </w:r>
          </w:p>
        </w:tc>
        <w:tc>
          <w:tcPr>
            <w:tcW w:w="135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proyectado</w:t>
            </w:r>
          </w:p>
        </w:tc>
      </w:tr>
      <w:tr w:rsidR="00CD38B3" w:rsidRPr="00CD38B3" w:rsidTr="00CD38B3">
        <w:trPr>
          <w:trHeight w:val="300"/>
        </w:trPr>
        <w:tc>
          <w:tcPr>
            <w:tcW w:w="2252"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Salida01</w:t>
            </w:r>
          </w:p>
        </w:tc>
        <w:tc>
          <w:tcPr>
            <w:tcW w:w="194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Salida02 y amp 2</w:t>
            </w:r>
          </w:p>
        </w:tc>
        <w:tc>
          <w:tcPr>
            <w:tcW w:w="2275"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134</w:t>
            </w:r>
          </w:p>
        </w:tc>
        <w:tc>
          <w:tcPr>
            <w:tcW w:w="1912"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0,67</w:t>
            </w:r>
          </w:p>
        </w:tc>
        <w:tc>
          <w:tcPr>
            <w:tcW w:w="135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1,8</w:t>
            </w:r>
          </w:p>
        </w:tc>
      </w:tr>
      <w:tr w:rsidR="00CD38B3" w:rsidRPr="00CD38B3" w:rsidTr="00CD38B3">
        <w:trPr>
          <w:trHeight w:val="300"/>
        </w:trPr>
        <w:tc>
          <w:tcPr>
            <w:tcW w:w="2252"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Salida02</w:t>
            </w:r>
          </w:p>
        </w:tc>
        <w:tc>
          <w:tcPr>
            <w:tcW w:w="194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Salida01 y amp 2</w:t>
            </w:r>
          </w:p>
        </w:tc>
        <w:tc>
          <w:tcPr>
            <w:tcW w:w="2275"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134</w:t>
            </w:r>
          </w:p>
        </w:tc>
        <w:tc>
          <w:tcPr>
            <w:tcW w:w="1912"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0,67</w:t>
            </w:r>
          </w:p>
        </w:tc>
        <w:tc>
          <w:tcPr>
            <w:tcW w:w="135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1,8</w:t>
            </w:r>
          </w:p>
        </w:tc>
      </w:tr>
      <w:tr w:rsidR="00CD38B3" w:rsidRPr="00CD38B3" w:rsidTr="00CD38B3">
        <w:trPr>
          <w:trHeight w:val="300"/>
        </w:trPr>
        <w:tc>
          <w:tcPr>
            <w:tcW w:w="2252"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Salidas ampliación2</w:t>
            </w:r>
          </w:p>
        </w:tc>
        <w:tc>
          <w:tcPr>
            <w:tcW w:w="1943"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Salidas 1 y 2</w:t>
            </w:r>
          </w:p>
        </w:tc>
        <w:tc>
          <w:tcPr>
            <w:tcW w:w="2275"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134</w:t>
            </w:r>
          </w:p>
        </w:tc>
        <w:tc>
          <w:tcPr>
            <w:tcW w:w="1912"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0,67</w:t>
            </w:r>
          </w:p>
        </w:tc>
        <w:tc>
          <w:tcPr>
            <w:tcW w:w="1358"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5,3</w:t>
            </w:r>
          </w:p>
        </w:tc>
      </w:tr>
    </w:tbl>
    <w:p w:rsidR="00CD38B3" w:rsidRDefault="00CD38B3"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La comprobación de anchops pésimos se deben realizar contando con las evacuaciones de la SALIDA 6 de la ampliación 2, que tenía en cuenta que parte de la asignación de ocupantes se producía por la actual SALIDA 2 de esta ampliación, por lo que en la situación pésima tenemos que:</w:t>
      </w:r>
    </w:p>
    <w:p w:rsidR="00CD38B3" w:rsidRDefault="00CD38B3" w:rsidP="00C372F9">
      <w:pPr>
        <w:widowControl w:val="0"/>
        <w:autoSpaceDE w:val="0"/>
        <w:autoSpaceDN w:val="0"/>
        <w:adjustRightInd w:val="0"/>
        <w:rPr>
          <w:rFonts w:ascii="Verdana" w:hAnsi="Verdana" w:cs="Verdana"/>
          <w:color w:val="000000"/>
          <w:sz w:val="18"/>
          <w:szCs w:val="18"/>
        </w:rPr>
      </w:pPr>
    </w:p>
    <w:tbl>
      <w:tblPr>
        <w:tblW w:w="8580" w:type="dxa"/>
        <w:tblInd w:w="51" w:type="dxa"/>
        <w:tblCellMar>
          <w:left w:w="70" w:type="dxa"/>
          <w:right w:w="70" w:type="dxa"/>
        </w:tblCellMar>
        <w:tblLook w:val="04A0"/>
      </w:tblPr>
      <w:tblGrid>
        <w:gridCol w:w="1383"/>
        <w:gridCol w:w="2911"/>
        <w:gridCol w:w="2506"/>
        <w:gridCol w:w="1780"/>
      </w:tblGrid>
      <w:tr w:rsidR="00CD38B3" w:rsidRPr="00CD38B3" w:rsidTr="00CD38B3">
        <w:trPr>
          <w:trHeight w:val="300"/>
        </w:trPr>
        <w:tc>
          <w:tcPr>
            <w:tcW w:w="8580" w:type="dxa"/>
            <w:gridSpan w:val="4"/>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Casos de dimensionado pésimos para las salidas</w:t>
            </w:r>
          </w:p>
        </w:tc>
      </w:tr>
      <w:tr w:rsidR="00CD38B3" w:rsidRPr="00CD38B3" w:rsidTr="00CD38B3">
        <w:trPr>
          <w:trHeight w:val="300"/>
        </w:trPr>
        <w:tc>
          <w:tcPr>
            <w:tcW w:w="1383"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c>
          <w:tcPr>
            <w:tcW w:w="2911" w:type="dxa"/>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color w:val="000000"/>
                <w:szCs w:val="22"/>
              </w:rPr>
            </w:pPr>
          </w:p>
        </w:tc>
        <w:tc>
          <w:tcPr>
            <w:tcW w:w="2506" w:type="dxa"/>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color w:val="000000"/>
                <w:szCs w:val="22"/>
              </w:rPr>
            </w:pPr>
          </w:p>
        </w:tc>
        <w:tc>
          <w:tcPr>
            <w:tcW w:w="1780"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r>
      <w:tr w:rsidR="00CD38B3" w:rsidRPr="00CD38B3" w:rsidTr="00CD38B3">
        <w:trPr>
          <w:trHeight w:val="300"/>
        </w:trPr>
        <w:tc>
          <w:tcPr>
            <w:tcW w:w="8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Caso particular biblioteca llena (más desfavorable)</w:t>
            </w:r>
          </w:p>
        </w:tc>
      </w:tr>
      <w:tr w:rsidR="00CD38B3" w:rsidRPr="00CD38B3" w:rsidTr="00CD38B3">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Salida</w:t>
            </w:r>
          </w:p>
        </w:tc>
        <w:tc>
          <w:tcPr>
            <w:tcW w:w="2911"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Evacuación pésima</w:t>
            </w:r>
          </w:p>
        </w:tc>
        <w:tc>
          <w:tcPr>
            <w:tcW w:w="2506"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ancho necesario</w:t>
            </w:r>
          </w:p>
        </w:tc>
        <w:tc>
          <w:tcPr>
            <w:tcW w:w="1780"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proyectado</w:t>
            </w:r>
          </w:p>
        </w:tc>
      </w:tr>
      <w:tr w:rsidR="00CD38B3" w:rsidRPr="00CD38B3" w:rsidTr="00CD38B3">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 01</w:t>
            </w:r>
          </w:p>
        </w:tc>
        <w:tc>
          <w:tcPr>
            <w:tcW w:w="2911"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226</w:t>
            </w:r>
          </w:p>
        </w:tc>
        <w:tc>
          <w:tcPr>
            <w:tcW w:w="2506"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1,13</w:t>
            </w:r>
          </w:p>
        </w:tc>
        <w:tc>
          <w:tcPr>
            <w:tcW w:w="1780"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1,8</w:t>
            </w:r>
          </w:p>
        </w:tc>
      </w:tr>
      <w:tr w:rsidR="00CD38B3" w:rsidRPr="00CD38B3" w:rsidTr="00CD38B3">
        <w:trPr>
          <w:trHeight w:val="300"/>
        </w:trPr>
        <w:tc>
          <w:tcPr>
            <w:tcW w:w="1383"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c>
          <w:tcPr>
            <w:tcW w:w="2911" w:type="dxa"/>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color w:val="000000"/>
                <w:szCs w:val="22"/>
              </w:rPr>
            </w:pPr>
          </w:p>
        </w:tc>
        <w:tc>
          <w:tcPr>
            <w:tcW w:w="2506" w:type="dxa"/>
            <w:tcBorders>
              <w:top w:val="nil"/>
              <w:left w:val="nil"/>
              <w:bottom w:val="nil"/>
              <w:right w:val="nil"/>
            </w:tcBorders>
            <w:shd w:val="clear" w:color="auto" w:fill="auto"/>
            <w:noWrap/>
            <w:vAlign w:val="bottom"/>
            <w:hideMark/>
          </w:tcPr>
          <w:p w:rsidR="00CD38B3" w:rsidRPr="00CD38B3" w:rsidRDefault="00CD38B3" w:rsidP="00CD38B3">
            <w:pPr>
              <w:jc w:val="center"/>
              <w:rPr>
                <w:rFonts w:ascii="Calibri" w:hAnsi="Calibri"/>
                <w:color w:val="000000"/>
                <w:szCs w:val="22"/>
              </w:rPr>
            </w:pPr>
          </w:p>
        </w:tc>
        <w:tc>
          <w:tcPr>
            <w:tcW w:w="1780" w:type="dxa"/>
            <w:tcBorders>
              <w:top w:val="nil"/>
              <w:left w:val="nil"/>
              <w:bottom w:val="nil"/>
              <w:right w:val="nil"/>
            </w:tcBorders>
            <w:shd w:val="clear" w:color="auto" w:fill="auto"/>
            <w:noWrap/>
            <w:vAlign w:val="bottom"/>
            <w:hideMark/>
          </w:tcPr>
          <w:p w:rsidR="00CD38B3" w:rsidRPr="00CD38B3" w:rsidRDefault="00CD38B3" w:rsidP="00CD38B3">
            <w:pPr>
              <w:jc w:val="left"/>
              <w:rPr>
                <w:rFonts w:ascii="Calibri" w:hAnsi="Calibri"/>
                <w:color w:val="000000"/>
                <w:szCs w:val="22"/>
              </w:rPr>
            </w:pPr>
          </w:p>
        </w:tc>
      </w:tr>
      <w:tr w:rsidR="00CD38B3" w:rsidRPr="00CD38B3" w:rsidTr="00CD38B3">
        <w:trPr>
          <w:trHeight w:val="300"/>
        </w:trPr>
        <w:tc>
          <w:tcPr>
            <w:tcW w:w="8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Caso particular considerando evacuaciones ampliación anterior</w:t>
            </w:r>
          </w:p>
        </w:tc>
      </w:tr>
      <w:tr w:rsidR="00CD38B3" w:rsidRPr="00CD38B3" w:rsidTr="00CD38B3">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b/>
                <w:bCs/>
                <w:color w:val="000000"/>
                <w:szCs w:val="22"/>
              </w:rPr>
            </w:pPr>
            <w:r w:rsidRPr="00CD38B3">
              <w:rPr>
                <w:rFonts w:ascii="Calibri" w:hAnsi="Calibri"/>
                <w:b/>
                <w:bCs/>
                <w:color w:val="000000"/>
                <w:szCs w:val="22"/>
              </w:rPr>
              <w:t>Salida</w:t>
            </w:r>
          </w:p>
        </w:tc>
        <w:tc>
          <w:tcPr>
            <w:tcW w:w="2911"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Evacuación pésima</w:t>
            </w:r>
          </w:p>
        </w:tc>
        <w:tc>
          <w:tcPr>
            <w:tcW w:w="2506"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ancho necesario</w:t>
            </w:r>
          </w:p>
        </w:tc>
        <w:tc>
          <w:tcPr>
            <w:tcW w:w="1780"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b/>
                <w:bCs/>
                <w:color w:val="000000"/>
                <w:szCs w:val="22"/>
              </w:rPr>
            </w:pPr>
            <w:r w:rsidRPr="00CD38B3">
              <w:rPr>
                <w:rFonts w:ascii="Calibri" w:hAnsi="Calibri"/>
                <w:b/>
                <w:bCs/>
                <w:color w:val="000000"/>
                <w:szCs w:val="22"/>
              </w:rPr>
              <w:t>proyectado</w:t>
            </w:r>
          </w:p>
        </w:tc>
      </w:tr>
      <w:tr w:rsidR="00CD38B3" w:rsidRPr="00CD38B3" w:rsidTr="00CD38B3">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rsidR="00CD38B3" w:rsidRPr="00CD38B3" w:rsidRDefault="00CD38B3" w:rsidP="00CD38B3">
            <w:pPr>
              <w:jc w:val="left"/>
              <w:rPr>
                <w:rFonts w:ascii="Calibri" w:hAnsi="Calibri"/>
                <w:color w:val="000000"/>
                <w:szCs w:val="22"/>
              </w:rPr>
            </w:pPr>
            <w:r w:rsidRPr="00CD38B3">
              <w:rPr>
                <w:rFonts w:ascii="Calibri" w:hAnsi="Calibri"/>
                <w:color w:val="000000"/>
                <w:szCs w:val="22"/>
              </w:rPr>
              <w:t>Salida 02</w:t>
            </w:r>
          </w:p>
        </w:tc>
        <w:tc>
          <w:tcPr>
            <w:tcW w:w="2911"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496</w:t>
            </w:r>
          </w:p>
        </w:tc>
        <w:tc>
          <w:tcPr>
            <w:tcW w:w="2506"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2,48</w:t>
            </w:r>
          </w:p>
        </w:tc>
        <w:tc>
          <w:tcPr>
            <w:tcW w:w="1780" w:type="dxa"/>
            <w:tcBorders>
              <w:top w:val="nil"/>
              <w:left w:val="nil"/>
              <w:bottom w:val="single" w:sz="4" w:space="0" w:color="auto"/>
              <w:right w:val="single" w:sz="4" w:space="0" w:color="auto"/>
            </w:tcBorders>
            <w:shd w:val="clear" w:color="auto" w:fill="auto"/>
            <w:noWrap/>
            <w:vAlign w:val="bottom"/>
            <w:hideMark/>
          </w:tcPr>
          <w:p w:rsidR="00CD38B3" w:rsidRPr="00CD38B3" w:rsidRDefault="00CD38B3" w:rsidP="00CD38B3">
            <w:pPr>
              <w:jc w:val="center"/>
              <w:rPr>
                <w:rFonts w:ascii="Calibri" w:hAnsi="Calibri"/>
                <w:color w:val="000000"/>
                <w:szCs w:val="22"/>
              </w:rPr>
            </w:pPr>
            <w:r w:rsidRPr="00CD38B3">
              <w:rPr>
                <w:rFonts w:ascii="Calibri" w:hAnsi="Calibri"/>
                <w:color w:val="000000"/>
                <w:szCs w:val="22"/>
              </w:rPr>
              <w:t>2,8</w:t>
            </w:r>
          </w:p>
        </w:tc>
      </w:tr>
    </w:tbl>
    <w:p w:rsidR="00CD38B3" w:rsidRDefault="00CD38B3" w:rsidP="00C372F9">
      <w:pPr>
        <w:widowControl w:val="0"/>
        <w:autoSpaceDE w:val="0"/>
        <w:autoSpaceDN w:val="0"/>
        <w:adjustRightInd w:val="0"/>
        <w:rPr>
          <w:rFonts w:ascii="Verdana" w:hAnsi="Verdana" w:cs="Verdana"/>
          <w:color w:val="000000"/>
          <w:sz w:val="18"/>
          <w:szCs w:val="18"/>
        </w:rPr>
      </w:pPr>
    </w:p>
    <w:p w:rsidR="00CD38B3" w:rsidRDefault="00CD38B3"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3.- SEÑALIZACIÓN DE LOS MEDIOS DE EVACUACIÓN</w:t>
      </w:r>
    </w:p>
    <w:p w:rsidR="00C372F9" w:rsidRDefault="00C372F9" w:rsidP="00C372F9">
      <w:pPr>
        <w:widowControl w:val="0"/>
        <w:autoSpaceDE w:val="0"/>
        <w:autoSpaceDN w:val="0"/>
        <w:adjustRightInd w:val="0"/>
        <w:spacing w:after="62"/>
        <w:rPr>
          <w:rFonts w:ascii="Verdana" w:hAnsi="Verdana" w:cs="Verdana"/>
          <w:color w:val="000000"/>
          <w:sz w:val="18"/>
          <w:szCs w:val="18"/>
        </w:rPr>
      </w:pPr>
      <w:r>
        <w:rPr>
          <w:rFonts w:ascii="Verdana" w:hAnsi="Verdana" w:cs="Verdana"/>
          <w:color w:val="000000"/>
          <w:sz w:val="18"/>
          <w:szCs w:val="18"/>
        </w:rPr>
        <w:t>Conforme a lo establecido en el apartado 7 (DB SI 3), se utilizarán señales de evacuación, definidas en la norma UNE 23034:1988, dispuestas conforme a los siguientes criterios:</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lastRenderedPageBreak/>
        <w:t>a) Las salidas de recinto, planta o edificio tendrán una señal con el rótulo "SALIDA", excepto en edificios de uso 'Residencial Vivienda' o, en otros usos, cuando se trate de salidas de recintos cuya superficie no exceda de 50 m², sean fácilmente visibles desde todos los puntos de dichos recintos y los ocupantes estén familiarizados con el edificio.</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b) La señal con el rótulo "Salida de emergencia" se utilizará en toda salida prevista para uso exclusivo en caso de emergencia.</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c) Se dispondrán señales indicativas de dirección de los recorridos, visibles desde todo origen de evacuación desde el que no se perciban directamente las salidas o sus señales indicativas y, en particular, frente a toda salida de un recinto con ocupación mayor que 100 personas que acceda lateralmente a un pasillo.</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d) En los puntos de los recorridos de evacuación en los que existan alternativas que puedan inducir a error, también se dispondrán las señales antes citadas, de forma tal que quede claramente indicada la alternativa correcta. Tal es el caso de determinados cruces o bifurcaciones de pasillos, así como de aquellas escaleras que, en la planta de salida del edificio, continúen su trazado hacia plantas más bajas, etc.</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e) En dichos recorridos, junto a las puertas que no sean salida y que puedan inducir a error en la evacuación, debe disponerse la señal con el rótulo "Sin salida" en lugar fácilmente visible pero en ningún caso sobre las hojas de las puertas.</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f) Las señales se dispondrán de forma coherente con la asignación de ocupantes que se pretenda hacer a cada salida de planta, conforme a lo establecido en el apartado 4 (DB SI 3).</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g) Los itinerarios accesibles para personas con discapacidad (definidos en el Anejo A de CTE DB SUA) que conduzcan a una zona de refugio, a un sector de incendio alternativo previsto para la evacuación de personas con discapacidad, o a una salida del edificio accesible, se señalizarán mediante las señales establecidas en los párrafos anteriores a), b), c) y d) acompañadas del SIA (Símbolo Internacional de Accesibilidad para la movilidad). Cuando dichos itinerarios accesibles conduzcan a una zona de refugio o a un sector de incendio alternativo previsto para la evacuación de personas con discapacidad, irán además acompañadas del rótulo “ZONA DE REFUGIO”.</w:t>
      </w:r>
    </w:p>
    <w:p w:rsidR="00C372F9" w:rsidRDefault="00C372F9" w:rsidP="00C372F9">
      <w:pPr>
        <w:widowControl w:val="0"/>
        <w:autoSpaceDE w:val="0"/>
        <w:autoSpaceDN w:val="0"/>
        <w:adjustRightInd w:val="0"/>
        <w:spacing w:after="147"/>
        <w:ind w:left="600" w:hanging="240"/>
        <w:rPr>
          <w:rFonts w:ascii="Verdana" w:hAnsi="Verdana" w:cs="Verdana"/>
          <w:color w:val="000000"/>
          <w:sz w:val="18"/>
          <w:szCs w:val="18"/>
        </w:rPr>
      </w:pPr>
      <w:r>
        <w:rPr>
          <w:rFonts w:ascii="Verdana" w:hAnsi="Verdana" w:cs="Verdana"/>
          <w:color w:val="000000"/>
          <w:sz w:val="18"/>
          <w:szCs w:val="18"/>
        </w:rPr>
        <w:t>h) La superficie de las zonas de refugio se señalizará mediante diferente color en el pavimento y el rótulo “ZONA DE REFUGIO” acompañado del SIA colocado en una pared adyacente a la zona.</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Las señales serán visibles incluso en caso de fallo en el suministro al alumbrado normal. Cuando sean fotoluminiscentes, sus características de emisión luminosa cumplirán lo establecido en las normas UNE 23035-1:2003, UNE 23035-2:2003 y UNE 23035-4:2003 y su mantenimiento se realizará conforme a lo establecido en la norma UNE 23035-3:2003.</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4.- CONTROL DEL HUMO DE INCENDIO</w:t>
      </w:r>
    </w:p>
    <w:p w:rsidR="00C372F9" w:rsidRDefault="00C372F9" w:rsidP="00C372F9">
      <w:pPr>
        <w:widowControl w:val="0"/>
        <w:autoSpaceDE w:val="0"/>
        <w:autoSpaceDN w:val="0"/>
        <w:adjustRightInd w:val="0"/>
        <w:spacing w:after="62"/>
        <w:rPr>
          <w:rFonts w:ascii="Verdana" w:hAnsi="Verdana" w:cs="Verdana"/>
          <w:color w:val="000000"/>
          <w:sz w:val="18"/>
          <w:szCs w:val="18"/>
        </w:rPr>
      </w:pPr>
      <w:r>
        <w:rPr>
          <w:rFonts w:ascii="Verdana" w:hAnsi="Verdana" w:cs="Verdana"/>
          <w:color w:val="000000"/>
          <w:sz w:val="18"/>
          <w:szCs w:val="18"/>
        </w:rPr>
        <w:t>No se ha previsto en el edificio ningún sistema de control del humo de incendio, por no existir en él ninguna zona correspondiente a los usos recogidos en el apartado 8 (DB SI 3):</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a) Zonas de uso Aparcamiento que no tengan la consideración de aparcamiento abierto;</w:t>
      </w:r>
      <w:r w:rsidR="00FF50C2">
        <w:rPr>
          <w:rFonts w:ascii="Verdana" w:hAnsi="Verdana" w:cs="Verdana"/>
          <w:color w:val="000000"/>
          <w:sz w:val="18"/>
          <w:szCs w:val="18"/>
        </w:rPr>
        <w:t xml:space="preserve"> (no se proyectan aparcamientos).</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b) Establecimientos de uso Comercial o Pública Concurrencia cuya ocupación exceda de 1000 personas;</w:t>
      </w:r>
      <w:r w:rsidR="00FF50C2">
        <w:rPr>
          <w:rFonts w:ascii="Verdana" w:hAnsi="Verdana" w:cs="Verdana"/>
          <w:color w:val="000000"/>
          <w:sz w:val="18"/>
          <w:szCs w:val="18"/>
        </w:rPr>
        <w:t xml:space="preserve"> (no se exceden de 1000 personas).</w:t>
      </w:r>
    </w:p>
    <w:p w:rsidR="00C372F9" w:rsidRDefault="00C372F9" w:rsidP="00C372F9">
      <w:pPr>
        <w:widowControl w:val="0"/>
        <w:autoSpaceDE w:val="0"/>
        <w:autoSpaceDN w:val="0"/>
        <w:adjustRightInd w:val="0"/>
        <w:spacing w:after="147"/>
        <w:ind w:left="600" w:hanging="240"/>
        <w:rPr>
          <w:rFonts w:ascii="Verdana" w:hAnsi="Verdana" w:cs="Verdana"/>
          <w:color w:val="000000"/>
          <w:sz w:val="18"/>
          <w:szCs w:val="18"/>
        </w:rPr>
      </w:pPr>
      <w:r>
        <w:rPr>
          <w:rFonts w:ascii="Verdana" w:hAnsi="Verdana" w:cs="Verdana"/>
          <w:color w:val="000000"/>
          <w:sz w:val="18"/>
          <w:szCs w:val="18"/>
        </w:rPr>
        <w:t>c) Atrios, cuando su ocupación, en el conjunto de las zonas y plantas que constituyan un mismo sector de incendio, exceda de 500 personas, o bien cuando esté prevista su utilización para la evacuación de más de 500 personas.</w:t>
      </w:r>
      <w:r w:rsidR="00FF50C2">
        <w:rPr>
          <w:rFonts w:ascii="Verdana" w:hAnsi="Verdana" w:cs="Verdana"/>
          <w:color w:val="000000"/>
          <w:sz w:val="18"/>
          <w:szCs w:val="18"/>
        </w:rPr>
        <w:t xml:space="preserve"> (no se proyectan atrios).</w:t>
      </w:r>
    </w:p>
    <w:p w:rsidR="00C372F9" w:rsidRPr="0031629F" w:rsidRDefault="00C372F9" w:rsidP="00C372F9">
      <w:pPr>
        <w:widowControl w:val="0"/>
        <w:autoSpaceDE w:val="0"/>
        <w:autoSpaceDN w:val="0"/>
        <w:adjustRightInd w:val="0"/>
        <w:spacing w:before="119" w:after="62"/>
        <w:rPr>
          <w:rFonts w:ascii="Verdana" w:hAnsi="Verdana" w:cs="Verdana"/>
          <w:b/>
          <w:bCs/>
          <w:color w:val="000000"/>
          <w:sz w:val="40"/>
          <w:szCs w:val="26"/>
        </w:rPr>
      </w:pPr>
      <w:r w:rsidRPr="0031629F">
        <w:rPr>
          <w:rFonts w:ascii="Verdana" w:hAnsi="Verdana" w:cs="Verdana"/>
          <w:b/>
          <w:bCs/>
          <w:color w:val="000000"/>
          <w:sz w:val="24"/>
          <w:szCs w:val="17"/>
        </w:rPr>
        <w:t>EXIGENCIA BÁSICA SI 4: INSTALACIONES DE PROTECCIÓN CONTRA INCENDIOS</w:t>
      </w:r>
      <w:r w:rsidRPr="0031629F">
        <w:rPr>
          <w:rFonts w:ascii="Verdana" w:hAnsi="Verdana" w:cs="Verdana"/>
          <w:b/>
          <w:bCs/>
          <w:color w:val="000000"/>
          <w:sz w:val="40"/>
          <w:szCs w:val="26"/>
        </w:rPr>
        <w:t xml:space="preserve"> </w:t>
      </w: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1.- DOTACIÓN DE INSTALACIONES DE PROTECCIÓN CONTRA INCENDIOS</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El edificio dispone de los equipos e instalaciones de protección contra incendios requeridos según la tabla 1.1 de DB SI 4 Instalaciones de protección contra incendios. El diseño, ejecución, puesta en funcionamiento y mantenimiento de dichas instalaciones, así como sus materiales, componentes y equipos, cumplirán lo establecido, tanto en el artículo 3.1 del CTE, como en el Reglamento de Instalaciones de Protección contra Incendios (</w:t>
      </w:r>
      <w:r w:rsidR="00FC2B1A" w:rsidRPr="00FC2B1A">
        <w:rPr>
          <w:rFonts w:ascii="Verdana" w:hAnsi="Verdana" w:cs="Verdana"/>
          <w:color w:val="000000"/>
          <w:sz w:val="18"/>
          <w:szCs w:val="18"/>
        </w:rPr>
        <w:t>Real Decreto 513/2017, de 22 de mayo</w:t>
      </w:r>
      <w:r>
        <w:rPr>
          <w:rFonts w:ascii="Verdana" w:hAnsi="Verdana" w:cs="Verdana"/>
          <w:color w:val="000000"/>
          <w:sz w:val="18"/>
          <w:szCs w:val="18"/>
        </w:rPr>
        <w:t>), en sus disposiciones complementarias y en cualquier otra reglamentación específica que les sea de aplicación.</w:t>
      </w:r>
    </w:p>
    <w:p w:rsidR="00835FC1" w:rsidRDefault="00835FC1" w:rsidP="00C372F9">
      <w:pPr>
        <w:widowControl w:val="0"/>
        <w:autoSpaceDE w:val="0"/>
        <w:autoSpaceDN w:val="0"/>
        <w:adjustRightInd w:val="0"/>
        <w:rPr>
          <w:rFonts w:ascii="Verdana" w:hAnsi="Verdana" w:cs="Verdana"/>
          <w:color w:val="000000"/>
          <w:sz w:val="18"/>
          <w:szCs w:val="18"/>
        </w:rPr>
      </w:pPr>
    </w:p>
    <w:p w:rsidR="00C372F9" w:rsidRDefault="00C372F9" w:rsidP="00C372F9">
      <w:pPr>
        <w:widowControl w:val="0"/>
        <w:autoSpaceDE w:val="0"/>
        <w:autoSpaceDN w:val="0"/>
        <w:adjustRightInd w:val="0"/>
        <w:rPr>
          <w:rFonts w:ascii="Verdana" w:hAnsi="Verdana" w:cs="Verdana"/>
          <w:color w:val="000000"/>
          <w:sz w:val="9"/>
          <w:szCs w:val="9"/>
        </w:rPr>
      </w:pPr>
    </w:p>
    <w:p w:rsidR="00C372F9" w:rsidRDefault="00C372F9" w:rsidP="00C372F9">
      <w:pPr>
        <w:widowControl w:val="0"/>
        <w:autoSpaceDE w:val="0"/>
        <w:autoSpaceDN w:val="0"/>
        <w:adjustRightInd w:val="0"/>
        <w:rPr>
          <w:rFonts w:ascii="Verdana" w:hAnsi="Verdana" w:cs="Verdana"/>
          <w:color w:val="000000"/>
          <w:sz w:val="9"/>
          <w:szCs w:val="9"/>
        </w:rPr>
      </w:pPr>
    </w:p>
    <w:tbl>
      <w:tblPr>
        <w:tblW w:w="0" w:type="auto"/>
        <w:tblInd w:w="23" w:type="dxa"/>
        <w:tblLayout w:type="fixed"/>
        <w:tblCellMar>
          <w:top w:w="28" w:type="dxa"/>
          <w:left w:w="0" w:type="dxa"/>
          <w:bottom w:w="28" w:type="dxa"/>
          <w:right w:w="0" w:type="dxa"/>
        </w:tblCellMar>
        <w:tblLook w:val="0000"/>
      </w:tblPr>
      <w:tblGrid>
        <w:gridCol w:w="914"/>
        <w:gridCol w:w="1824"/>
        <w:gridCol w:w="1889"/>
        <w:gridCol w:w="1375"/>
        <w:gridCol w:w="1829"/>
        <w:gridCol w:w="1978"/>
      </w:tblGrid>
      <w:tr w:rsidR="00835FC1" w:rsidRPr="00AC4AB8" w:rsidTr="00835FC1">
        <w:trPr>
          <w:trHeight w:hRule="exact" w:val="253"/>
        </w:trPr>
        <w:tc>
          <w:tcPr>
            <w:tcW w:w="9809" w:type="dxa"/>
            <w:gridSpan w:val="6"/>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b/>
                <w:bCs/>
                <w:color w:val="000000"/>
                <w:sz w:val="18"/>
                <w:szCs w:val="18"/>
              </w:rPr>
              <w:lastRenderedPageBreak/>
              <w:t>Dotación de instalaciones de protección contra incendios en los sectores de incendio</w:t>
            </w:r>
            <w:r>
              <w:rPr>
                <w:rFonts w:ascii="Verdana" w:eastAsiaTheme="minorEastAsia" w:hAnsi="Verdana" w:cs="Verdana"/>
                <w:b/>
                <w:bCs/>
                <w:color w:val="000000"/>
                <w:sz w:val="18"/>
                <w:szCs w:val="18"/>
              </w:rPr>
              <w:t>. Aulas.</w:t>
            </w:r>
          </w:p>
        </w:tc>
      </w:tr>
      <w:tr w:rsidR="00835FC1" w:rsidRPr="00AC4AB8" w:rsidTr="00835FC1">
        <w:trPr>
          <w:trHeight w:hRule="exact" w:val="690"/>
        </w:trPr>
        <w:tc>
          <w:tcPr>
            <w:tcW w:w="91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Dotación</w:t>
            </w:r>
          </w:p>
        </w:tc>
        <w:tc>
          <w:tcPr>
            <w:tcW w:w="182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Extintores portátiles</w:t>
            </w:r>
            <w:r w:rsidRPr="00AC4AB8">
              <w:rPr>
                <w:rFonts w:ascii="Verdana" w:eastAsiaTheme="minorEastAsia" w:hAnsi="Verdana" w:cs="Verdana"/>
                <w:color w:val="000000"/>
                <w:sz w:val="18"/>
                <w:szCs w:val="18"/>
                <w:vertAlign w:val="superscript"/>
              </w:rPr>
              <w:t>(1)</w:t>
            </w:r>
          </w:p>
        </w:tc>
        <w:tc>
          <w:tcPr>
            <w:tcW w:w="188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Bocas de incendio equipadas</w:t>
            </w:r>
          </w:p>
        </w:tc>
        <w:tc>
          <w:tcPr>
            <w:tcW w:w="137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Columna seca</w:t>
            </w:r>
          </w:p>
        </w:tc>
        <w:tc>
          <w:tcPr>
            <w:tcW w:w="182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Sistema de detección y alarma</w:t>
            </w:r>
          </w:p>
        </w:tc>
        <w:tc>
          <w:tcPr>
            <w:tcW w:w="197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Instalación automática de extinción</w:t>
            </w:r>
          </w:p>
        </w:tc>
      </w:tr>
      <w:tr w:rsidR="00835FC1" w:rsidRPr="00AC4AB8" w:rsidTr="00835FC1">
        <w:trPr>
          <w:trHeight w:hRule="exact" w:val="253"/>
        </w:trPr>
        <w:tc>
          <w:tcPr>
            <w:tcW w:w="9809" w:type="dxa"/>
            <w:gridSpan w:val="6"/>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b/>
                <w:bCs/>
                <w:color w:val="000000"/>
                <w:sz w:val="18"/>
                <w:szCs w:val="18"/>
              </w:rPr>
              <w:t>Sc_Docente_1</w:t>
            </w:r>
            <w:r w:rsidRPr="00AC4AB8">
              <w:rPr>
                <w:rFonts w:ascii="Verdana" w:eastAsiaTheme="minorEastAsia" w:hAnsi="Verdana" w:cs="Verdana"/>
                <w:color w:val="000000"/>
                <w:sz w:val="18"/>
                <w:szCs w:val="18"/>
              </w:rPr>
              <w:t xml:space="preserve"> (Uso 'Docente')</w:t>
            </w:r>
          </w:p>
        </w:tc>
      </w:tr>
      <w:tr w:rsidR="00835FC1" w:rsidRPr="00AC4AB8" w:rsidTr="00835FC1">
        <w:trPr>
          <w:trHeight w:hRule="exact" w:val="253"/>
        </w:trPr>
        <w:tc>
          <w:tcPr>
            <w:tcW w:w="914" w:type="dxa"/>
            <w:tcBorders>
              <w:top w:val="single" w:sz="2" w:space="0" w:color="000000"/>
              <w:left w:val="single" w:sz="2" w:space="0" w:color="000000"/>
              <w:bottom w:val="nil"/>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Norma</w:t>
            </w:r>
          </w:p>
        </w:tc>
        <w:tc>
          <w:tcPr>
            <w:tcW w:w="1824" w:type="dxa"/>
            <w:tcBorders>
              <w:top w:val="single" w:sz="2" w:space="0" w:color="000000"/>
              <w:left w:val="single" w:sz="2" w:space="0" w:color="000000"/>
              <w:bottom w:val="nil"/>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Sí</w:t>
            </w:r>
          </w:p>
        </w:tc>
        <w:tc>
          <w:tcPr>
            <w:tcW w:w="1889" w:type="dxa"/>
            <w:tcBorders>
              <w:top w:val="single" w:sz="2" w:space="0" w:color="000000"/>
              <w:left w:val="single" w:sz="2" w:space="0" w:color="000000"/>
              <w:bottom w:val="nil"/>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Si</w:t>
            </w:r>
          </w:p>
        </w:tc>
        <w:tc>
          <w:tcPr>
            <w:tcW w:w="1375" w:type="dxa"/>
            <w:tcBorders>
              <w:top w:val="single" w:sz="2" w:space="0" w:color="000000"/>
              <w:left w:val="single" w:sz="2" w:space="0" w:color="000000"/>
              <w:bottom w:val="nil"/>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w:t>
            </w:r>
          </w:p>
        </w:tc>
        <w:tc>
          <w:tcPr>
            <w:tcW w:w="1829" w:type="dxa"/>
            <w:tcBorders>
              <w:top w:val="single" w:sz="2" w:space="0" w:color="000000"/>
              <w:left w:val="single" w:sz="2" w:space="0" w:color="000000"/>
              <w:bottom w:val="nil"/>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Si</w:t>
            </w:r>
          </w:p>
        </w:tc>
        <w:tc>
          <w:tcPr>
            <w:tcW w:w="1978" w:type="dxa"/>
            <w:tcBorders>
              <w:top w:val="single" w:sz="2" w:space="0" w:color="000000"/>
              <w:left w:val="single" w:sz="2" w:space="0" w:color="000000"/>
              <w:bottom w:val="nil"/>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w:t>
            </w:r>
          </w:p>
        </w:tc>
      </w:tr>
      <w:tr w:rsidR="00835FC1" w:rsidRPr="00AC4AB8" w:rsidTr="00835FC1">
        <w:trPr>
          <w:trHeight w:hRule="exact" w:val="248"/>
        </w:trPr>
        <w:tc>
          <w:tcPr>
            <w:tcW w:w="914" w:type="dxa"/>
            <w:tcBorders>
              <w:top w:val="nil"/>
              <w:left w:val="single" w:sz="2" w:space="0" w:color="000000"/>
              <w:bottom w:val="single" w:sz="2" w:space="0" w:color="000000"/>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Proyecto</w:t>
            </w:r>
          </w:p>
        </w:tc>
        <w:tc>
          <w:tcPr>
            <w:tcW w:w="1824" w:type="dxa"/>
            <w:tcBorders>
              <w:top w:val="nil"/>
              <w:left w:val="single" w:sz="2" w:space="0" w:color="000000"/>
              <w:bottom w:val="single" w:sz="2" w:space="0" w:color="000000"/>
              <w:right w:val="single" w:sz="2" w:space="0" w:color="000000"/>
            </w:tcBorders>
            <w:tcMar>
              <w:left w:w="23" w:type="dxa"/>
              <w:right w:w="23" w:type="dxa"/>
            </w:tcMar>
            <w:vAlign w:val="center"/>
          </w:tcPr>
          <w:p w:rsidR="00835FC1" w:rsidRPr="00AC4AB8" w:rsidRDefault="00835FC1" w:rsidP="00FF50C2">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Sí</w:t>
            </w:r>
          </w:p>
        </w:tc>
        <w:tc>
          <w:tcPr>
            <w:tcW w:w="1889" w:type="dxa"/>
            <w:tcBorders>
              <w:top w:val="nil"/>
              <w:left w:val="single" w:sz="2" w:space="0" w:color="000000"/>
              <w:bottom w:val="single" w:sz="2" w:space="0" w:color="000000"/>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Si</w:t>
            </w:r>
          </w:p>
        </w:tc>
        <w:tc>
          <w:tcPr>
            <w:tcW w:w="1375" w:type="dxa"/>
            <w:tcBorders>
              <w:top w:val="nil"/>
              <w:left w:val="single" w:sz="2" w:space="0" w:color="000000"/>
              <w:bottom w:val="single" w:sz="2" w:space="0" w:color="000000"/>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w:t>
            </w:r>
          </w:p>
        </w:tc>
        <w:tc>
          <w:tcPr>
            <w:tcW w:w="1829" w:type="dxa"/>
            <w:tcBorders>
              <w:top w:val="nil"/>
              <w:left w:val="single" w:sz="2" w:space="0" w:color="000000"/>
              <w:bottom w:val="single" w:sz="2" w:space="0" w:color="000000"/>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Pr>
                <w:rFonts w:ascii="Verdana" w:eastAsiaTheme="minorEastAsia" w:hAnsi="Verdana" w:cs="Verdana"/>
                <w:color w:val="000000"/>
                <w:sz w:val="18"/>
                <w:szCs w:val="18"/>
              </w:rPr>
              <w:t>Si</w:t>
            </w:r>
          </w:p>
        </w:tc>
        <w:tc>
          <w:tcPr>
            <w:tcW w:w="1978" w:type="dxa"/>
            <w:tcBorders>
              <w:top w:val="nil"/>
              <w:left w:val="single" w:sz="2" w:space="0" w:color="000000"/>
              <w:bottom w:val="single" w:sz="2" w:space="0" w:color="000000"/>
              <w:right w:val="single" w:sz="2" w:space="0" w:color="000000"/>
            </w:tcBorders>
            <w:tcMar>
              <w:left w:w="23" w:type="dxa"/>
              <w:right w:w="23" w:type="dxa"/>
            </w:tcMar>
            <w:vAlign w:val="center"/>
          </w:tcPr>
          <w:p w:rsidR="00835FC1" w:rsidRPr="00AC4AB8" w:rsidRDefault="00835FC1" w:rsidP="00835FC1">
            <w:pPr>
              <w:widowControl w:val="0"/>
              <w:autoSpaceDE w:val="0"/>
              <w:autoSpaceDN w:val="0"/>
              <w:adjustRightInd w:val="0"/>
              <w:jc w:val="center"/>
              <w:rPr>
                <w:rFonts w:ascii="Verdana" w:eastAsiaTheme="minorEastAsia" w:hAnsi="Verdana" w:cs="Verdana"/>
                <w:color w:val="000000"/>
                <w:sz w:val="18"/>
                <w:szCs w:val="18"/>
              </w:rPr>
            </w:pPr>
            <w:r w:rsidRPr="00AC4AB8">
              <w:rPr>
                <w:rFonts w:ascii="Verdana" w:eastAsiaTheme="minorEastAsia" w:hAnsi="Verdana" w:cs="Verdana"/>
                <w:color w:val="000000"/>
                <w:sz w:val="18"/>
                <w:szCs w:val="18"/>
              </w:rPr>
              <w:t>No</w:t>
            </w:r>
          </w:p>
        </w:tc>
      </w:tr>
      <w:tr w:rsidR="00835FC1" w:rsidRPr="00AC4AB8" w:rsidTr="00835FC1">
        <w:trPr>
          <w:trHeight w:hRule="exact" w:val="885"/>
        </w:trPr>
        <w:tc>
          <w:tcPr>
            <w:tcW w:w="9809" w:type="dxa"/>
            <w:gridSpan w:val="6"/>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rsidR="00835FC1" w:rsidRPr="00AC4AB8" w:rsidRDefault="00835FC1" w:rsidP="00835FC1">
            <w:pPr>
              <w:widowControl w:val="0"/>
              <w:autoSpaceDE w:val="0"/>
              <w:autoSpaceDN w:val="0"/>
              <w:adjustRightInd w:val="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rPr>
              <w:t>Notas:</w:t>
            </w:r>
          </w:p>
          <w:p w:rsidR="00835FC1" w:rsidRPr="00AC4AB8" w:rsidRDefault="00835FC1" w:rsidP="00835FC1">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vertAlign w:val="superscript"/>
              </w:rPr>
              <w:t>(1)</w:t>
            </w:r>
            <w:r w:rsidRPr="00AC4AB8">
              <w:rPr>
                <w:rFonts w:ascii="Verdana" w:eastAsiaTheme="minorEastAsia" w:hAnsi="Verdana" w:cs="Verdana"/>
                <w:i/>
                <w:iCs/>
                <w:color w:val="000000"/>
                <w:sz w:val="14"/>
                <w:szCs w:val="14"/>
              </w:rPr>
              <w:t xml:space="preserve"> Se indica el número de extintores dispuestos en cada sector de incendio. Con dicha disposición, los recorridos de evacuación quedan cubiertos, cumpliendo la distancia máxima de 15 m desde todo origen de evacuación, de acuerdo a la tabla 1.1, DB SI 4.</w:t>
            </w:r>
          </w:p>
          <w:p w:rsidR="00835FC1" w:rsidRPr="00AC4AB8" w:rsidRDefault="00835FC1" w:rsidP="00835FC1">
            <w:pPr>
              <w:widowControl w:val="0"/>
              <w:autoSpaceDE w:val="0"/>
              <w:autoSpaceDN w:val="0"/>
              <w:adjustRightInd w:val="0"/>
              <w:ind w:left="360"/>
              <w:rPr>
                <w:rFonts w:ascii="Verdana" w:eastAsiaTheme="minorEastAsia" w:hAnsi="Verdana" w:cs="Verdana"/>
                <w:color w:val="000000"/>
                <w:sz w:val="14"/>
                <w:szCs w:val="14"/>
              </w:rPr>
            </w:pPr>
            <w:r w:rsidRPr="00AC4AB8">
              <w:rPr>
                <w:rFonts w:ascii="Verdana" w:eastAsiaTheme="minorEastAsia" w:hAnsi="Verdana" w:cs="Verdana"/>
                <w:i/>
                <w:iCs/>
                <w:color w:val="000000"/>
                <w:sz w:val="14"/>
                <w:szCs w:val="14"/>
              </w:rPr>
              <w:t>Los extintores que se han dispuesto, cumplen la eficacia mínima exigida: de polvo químico ABC polivalente, de eficacia 21A-144B-C.</w:t>
            </w:r>
          </w:p>
        </w:tc>
      </w:tr>
    </w:tbl>
    <w:p w:rsidR="00C372F9" w:rsidRDefault="00C372F9" w:rsidP="00C372F9">
      <w:pPr>
        <w:widowControl w:val="0"/>
        <w:autoSpaceDE w:val="0"/>
        <w:autoSpaceDN w:val="0"/>
        <w:adjustRightInd w:val="0"/>
        <w:rPr>
          <w:rFonts w:ascii="Verdana" w:hAnsi="Verdana" w:cs="Verdana"/>
          <w:color w:val="000000"/>
          <w:sz w:val="9"/>
          <w:szCs w:val="9"/>
        </w:rPr>
      </w:pPr>
    </w:p>
    <w:p w:rsidR="00835FC1" w:rsidRDefault="00835FC1" w:rsidP="00C372F9">
      <w:pPr>
        <w:widowControl w:val="0"/>
        <w:autoSpaceDE w:val="0"/>
        <w:autoSpaceDN w:val="0"/>
        <w:adjustRightInd w:val="0"/>
        <w:rPr>
          <w:rFonts w:ascii="Verdana" w:hAnsi="Verdana" w:cs="Verdana"/>
          <w:color w:val="000000"/>
          <w:sz w:val="9"/>
          <w:szCs w:val="9"/>
        </w:rPr>
      </w:pPr>
    </w:p>
    <w:p w:rsidR="00C372F9" w:rsidRDefault="00C372F9" w:rsidP="00C372F9">
      <w:pPr>
        <w:widowControl w:val="0"/>
        <w:autoSpaceDE w:val="0"/>
        <w:autoSpaceDN w:val="0"/>
        <w:adjustRightInd w:val="0"/>
        <w:rPr>
          <w:rFonts w:ascii="Verdana" w:hAnsi="Verdana" w:cs="Verdana"/>
          <w:color w:val="000000"/>
          <w:sz w:val="9"/>
          <w:szCs w:val="9"/>
        </w:rPr>
      </w:pPr>
    </w:p>
    <w:p w:rsidR="00476BB3" w:rsidRDefault="00476BB3" w:rsidP="00476BB3">
      <w:pPr>
        <w:keepNext/>
        <w:spacing w:after="205"/>
        <w:rPr>
          <w:rFonts w:ascii="Verdana" w:hAnsi="Verdana" w:cs="Verdana"/>
          <w:sz w:val="18"/>
        </w:rPr>
      </w:pPr>
      <w:r>
        <w:rPr>
          <w:rFonts w:ascii="Verdana" w:hAnsi="Verdana" w:cs="Verdana"/>
          <w:sz w:val="18"/>
        </w:rPr>
        <w:t>El dimensionado de la red de PCI se ha realizado atendiendo a las presiones mínimas necesarias en los puntos de consumo, hallando la zona más desfavorable de la red conforme a la simultaneidad de uso para los equipos presentes en la misma:</w:t>
      </w:r>
    </w:p>
    <w:p w:rsidR="00CD38B3" w:rsidRDefault="00CD38B3" w:rsidP="00CD38B3">
      <w:pPr>
        <w:spacing w:before="85" w:after="290"/>
        <w:ind w:left="420" w:hanging="136"/>
        <w:rPr>
          <w:rFonts w:ascii="Verdana" w:hAnsi="Verdana" w:cs="Verdana"/>
          <w:sz w:val="18"/>
        </w:rPr>
      </w:pPr>
      <w:r>
        <w:rPr>
          <w:rFonts w:ascii="Verdana" w:hAnsi="Verdana" w:cs="Verdana"/>
          <w:sz w:val="18"/>
        </w:rPr>
        <w:t>-</w:t>
      </w:r>
      <w:r>
        <w:rPr>
          <w:rFonts w:ascii="Verdana" w:hAnsi="Verdana" w:cs="Verdana"/>
          <w:sz w:val="18"/>
        </w:rPr>
        <w:tab/>
        <w:t xml:space="preserve">Simultaneidad para bocas de incendio equipadas (BIE): </w:t>
      </w:r>
      <w:r>
        <w:rPr>
          <w:rFonts w:ascii="Verdana" w:hAnsi="Verdana" w:cs="Verdana"/>
          <w:b/>
          <w:sz w:val="18"/>
        </w:rPr>
        <w:t>2</w:t>
      </w:r>
    </w:p>
    <w:p w:rsidR="00CD38B3" w:rsidRDefault="00CD38B3" w:rsidP="00CD38B3">
      <w:pPr>
        <w:keepNext/>
        <w:spacing w:after="85"/>
        <w:rPr>
          <w:rFonts w:ascii="Verdana" w:hAnsi="Verdana" w:cs="Verdana"/>
          <w:sz w:val="18"/>
        </w:rPr>
      </w:pPr>
      <w:r>
        <w:rPr>
          <w:rFonts w:ascii="Verdana" w:hAnsi="Verdana" w:cs="Verdana"/>
          <w:sz w:val="18"/>
        </w:rPr>
        <w:t>El punto de trabajo requerido para el grupo de presión '</w:t>
      </w:r>
      <w:r>
        <w:rPr>
          <w:rFonts w:ascii="Verdana" w:hAnsi="Verdana" w:cs="Verdana"/>
          <w:b/>
          <w:sz w:val="18"/>
        </w:rPr>
        <w:t>A1 (Planta baja)</w:t>
      </w:r>
      <w:r>
        <w:rPr>
          <w:rFonts w:ascii="Verdana" w:hAnsi="Verdana" w:cs="Verdana"/>
          <w:sz w:val="18"/>
        </w:rPr>
        <w:t>' es:</w:t>
      </w:r>
    </w:p>
    <w:p w:rsidR="00CD38B3" w:rsidRDefault="00CD38B3" w:rsidP="00CD38B3">
      <w:pPr>
        <w:keepNext/>
        <w:spacing w:after="205"/>
        <w:ind w:left="420" w:hanging="136"/>
        <w:rPr>
          <w:rFonts w:ascii="Verdana" w:hAnsi="Verdana" w:cs="Verdana"/>
          <w:sz w:val="18"/>
        </w:rPr>
      </w:pPr>
      <w:r>
        <w:rPr>
          <w:rFonts w:ascii="Verdana" w:hAnsi="Verdana" w:cs="Verdana"/>
          <w:sz w:val="18"/>
        </w:rPr>
        <w:t>-</w:t>
      </w:r>
      <w:r>
        <w:rPr>
          <w:rFonts w:ascii="Verdana" w:hAnsi="Verdana" w:cs="Verdana"/>
          <w:sz w:val="18"/>
        </w:rPr>
        <w:tab/>
        <w:t xml:space="preserve">Presión de salida: </w:t>
      </w:r>
      <w:r>
        <w:rPr>
          <w:rFonts w:ascii="Verdana" w:hAnsi="Verdana" w:cs="Verdana"/>
          <w:b/>
          <w:sz w:val="18"/>
        </w:rPr>
        <w:t>58.14 m.c.a.</w:t>
      </w:r>
    </w:p>
    <w:p w:rsidR="00CD38B3" w:rsidRDefault="00CD38B3" w:rsidP="00CD38B3">
      <w:pPr>
        <w:spacing w:after="290"/>
        <w:ind w:left="420" w:hanging="136"/>
        <w:rPr>
          <w:rFonts w:ascii="Verdana" w:hAnsi="Verdana" w:cs="Verdana"/>
          <w:sz w:val="18"/>
        </w:rPr>
      </w:pPr>
      <w:r>
        <w:rPr>
          <w:rFonts w:ascii="Verdana" w:hAnsi="Verdana" w:cs="Verdana"/>
          <w:sz w:val="18"/>
        </w:rPr>
        <w:t>-</w:t>
      </w:r>
      <w:r>
        <w:rPr>
          <w:rFonts w:ascii="Verdana" w:hAnsi="Verdana" w:cs="Verdana"/>
          <w:sz w:val="18"/>
        </w:rPr>
        <w:tab/>
        <w:t xml:space="preserve">Caudal de salida: </w:t>
      </w:r>
      <w:r>
        <w:rPr>
          <w:rFonts w:ascii="Verdana" w:hAnsi="Verdana" w:cs="Verdana"/>
          <w:b/>
          <w:sz w:val="18"/>
        </w:rPr>
        <w:t>3.258 l/s</w:t>
      </w:r>
    </w:p>
    <w:p w:rsidR="00CD38B3" w:rsidRDefault="00CD38B3" w:rsidP="00CD38B3">
      <w:pPr>
        <w:rPr>
          <w:rFonts w:ascii="Verdana" w:hAnsi="Verdana" w:cs="Verdana"/>
          <w:sz w:val="18"/>
        </w:rPr>
      </w:pPr>
      <w:r>
        <w:rPr>
          <w:rFonts w:ascii="Verdana" w:hAnsi="Verdana" w:cs="Verdana"/>
          <w:sz w:val="18"/>
        </w:rPr>
        <w:t>Cumpliendo también que, para un caudal de salida un 40% superior al nominal, la presión de salida del grupo es superior al 70% del punto de trabajo calculado.</w:t>
      </w:r>
    </w:p>
    <w:p w:rsidR="00CD38B3" w:rsidRDefault="00CD38B3" w:rsidP="00CD38B3">
      <w:r>
        <w:rPr>
          <w:rFonts w:ascii="Verdana" w:hAnsi="Verdana" w:cs="Verdana"/>
          <w:sz w:val="18"/>
        </w:rPr>
        <w:t xml:space="preserve"> </w:t>
      </w:r>
    </w:p>
    <w:p w:rsidR="00CD38B3" w:rsidRDefault="00CD38B3" w:rsidP="00CD38B3">
      <w:pPr>
        <w:rPr>
          <w:rFonts w:ascii="Verdana" w:hAnsi="Verdana" w:cs="Verdana"/>
          <w:sz w:val="18"/>
        </w:rPr>
      </w:pPr>
      <w:r>
        <w:rPr>
          <w:rFonts w:ascii="Verdana" w:hAnsi="Verdana" w:cs="Verdana"/>
          <w:sz w:val="18"/>
        </w:rPr>
        <w:t>Se muestra a continuación la justificación del cálculo hidráulico en la zona más desfavorable para el grupo de presión seleccionado</w:t>
      </w:r>
      <w:r w:rsidR="00F774C1">
        <w:rPr>
          <w:rFonts w:ascii="Verdana" w:hAnsi="Verdana" w:cs="Verdana"/>
          <w:sz w:val="18"/>
        </w:rPr>
        <w:t xml:space="preserve"> (las BIEs F, G, H, I, J, K son de ampliaciones anteriores) </w:t>
      </w:r>
      <w:r>
        <w:rPr>
          <w:rFonts w:ascii="Verdana" w:hAnsi="Verdana" w:cs="Verdana"/>
          <w:sz w:val="18"/>
        </w:rPr>
        <w:t>:</w:t>
      </w:r>
    </w:p>
    <w:p w:rsidR="00CD38B3" w:rsidRDefault="00CD38B3" w:rsidP="00CD38B3">
      <w:r>
        <w:rPr>
          <w:rFonts w:ascii="Verdana" w:hAnsi="Verdana" w:cs="Verdana"/>
          <w:sz w:val="18"/>
        </w:rPr>
        <w:t xml:space="preserve"> </w:t>
      </w:r>
    </w:p>
    <w:p w:rsidR="00CD38B3" w:rsidRDefault="00CD38B3" w:rsidP="00CD38B3">
      <w:r>
        <w:rPr>
          <w:rFonts w:ascii="Verdana" w:hAnsi="Verdana" w:cs="Verdana"/>
          <w:sz w:val="18"/>
        </w:rPr>
        <w:t xml:space="preserve"> </w:t>
      </w:r>
    </w:p>
    <w:tbl>
      <w:tblPr>
        <w:tblW w:w="5000" w:type="pct"/>
        <w:jc w:val="center"/>
        <w:tblCellMar>
          <w:top w:w="28" w:type="dxa"/>
          <w:left w:w="28" w:type="dxa"/>
          <w:bottom w:w="28" w:type="dxa"/>
          <w:right w:w="28" w:type="dxa"/>
        </w:tblCellMar>
        <w:tblLook w:val="0000"/>
      </w:tblPr>
      <w:tblGrid>
        <w:gridCol w:w="3060"/>
        <w:gridCol w:w="795"/>
        <w:gridCol w:w="748"/>
        <w:gridCol w:w="415"/>
        <w:gridCol w:w="473"/>
        <w:gridCol w:w="685"/>
        <w:gridCol w:w="646"/>
        <w:gridCol w:w="550"/>
        <w:gridCol w:w="748"/>
        <w:gridCol w:w="550"/>
        <w:gridCol w:w="741"/>
      </w:tblGrid>
      <w:tr w:rsidR="00CD38B3" w:rsidTr="00CD38B3">
        <w:trPr>
          <w:tblHeader/>
          <w:jc w:val="center"/>
        </w:trPr>
        <w:tc>
          <w:tcPr>
            <w:tcW w:w="0" w:type="auto"/>
            <w:tcBorders>
              <w:top w:val="single" w:sz="9" w:space="0" w:color="0E3EF0"/>
              <w:left w:val="single" w:sz="9" w:space="0" w:color="0E3EF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Tramo</w:t>
            </w:r>
          </w:p>
        </w:tc>
        <w:tc>
          <w:tcPr>
            <w:tcW w:w="0" w:type="auto"/>
            <w:tcBorders>
              <w:top w:val="single" w:sz="9" w:space="0" w:color="0E3EF0"/>
              <w:left w:val="single" w:sz="2" w:space="0" w:color="000000"/>
              <w:bottom w:val="single" w:sz="9" w:space="0" w:color="0E3EF0"/>
              <w:right w:val="single" w:sz="7"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L</w:t>
            </w:r>
          </w:p>
        </w:tc>
        <w:tc>
          <w:tcPr>
            <w:tcW w:w="0" w:type="auto"/>
            <w:tcBorders>
              <w:top w:val="single" w:sz="9" w:space="0" w:color="0E3EF0"/>
              <w:left w:val="single" w:sz="7" w:space="0" w:color="000000"/>
              <w:bottom w:val="single" w:sz="9" w:space="0" w:color="0E3EF0"/>
              <w:right w:val="single" w:sz="7"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Q</w:t>
            </w:r>
          </w:p>
        </w:tc>
        <w:tc>
          <w:tcPr>
            <w:tcW w:w="0" w:type="auto"/>
            <w:tcBorders>
              <w:top w:val="single" w:sz="9" w:space="0" w:color="0E3EF0"/>
              <w:left w:val="single" w:sz="7"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v</w:t>
            </w:r>
          </w:p>
        </w:tc>
        <w:tc>
          <w:tcPr>
            <w:tcW w:w="0" w:type="auto"/>
            <w:tcBorders>
              <w:top w:val="single" w:sz="9" w:space="0" w:color="0E3EF0"/>
              <w:left w:val="single" w:sz="2"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J</w:t>
            </w:r>
          </w:p>
        </w:tc>
        <w:tc>
          <w:tcPr>
            <w:tcW w:w="0" w:type="auto"/>
            <w:tcBorders>
              <w:top w:val="single" w:sz="9" w:space="0" w:color="0E3EF0"/>
              <w:left w:val="single" w:sz="2"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P</w:t>
            </w:r>
            <w:r>
              <w:rPr>
                <w:rFonts w:ascii="Verdana" w:hAnsi="Verdana" w:cs="Verdana"/>
                <w:sz w:val="18"/>
                <w:vertAlign w:val="subscript"/>
              </w:rPr>
              <w:t>i</w:t>
            </w:r>
          </w:p>
        </w:tc>
        <w:tc>
          <w:tcPr>
            <w:tcW w:w="0" w:type="auto"/>
            <w:tcBorders>
              <w:top w:val="single" w:sz="9" w:space="0" w:color="0E3EF0"/>
              <w:left w:val="single" w:sz="2"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Symbol" w:hAnsi="Symbol" w:cs="Symbol"/>
                <w:sz w:val="18"/>
              </w:rPr>
              <w:t></w:t>
            </w:r>
            <w:r>
              <w:rPr>
                <w:rFonts w:ascii="Verdana" w:hAnsi="Verdana" w:cs="Verdana"/>
                <w:sz w:val="18"/>
              </w:rPr>
              <w:t>h</w:t>
            </w:r>
          </w:p>
        </w:tc>
        <w:tc>
          <w:tcPr>
            <w:tcW w:w="0" w:type="auto"/>
            <w:tcBorders>
              <w:top w:val="single" w:sz="9" w:space="0" w:color="0E3EF0"/>
              <w:left w:val="single" w:sz="2" w:space="0" w:color="000000"/>
              <w:bottom w:val="single" w:sz="9" w:space="0" w:color="0E3EF0"/>
              <w:right w:val="single" w:sz="7"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Symbol" w:hAnsi="Symbol" w:cs="Symbol"/>
                <w:sz w:val="18"/>
              </w:rPr>
              <w:t></w:t>
            </w:r>
            <w:r>
              <w:rPr>
                <w:rFonts w:ascii="Verdana" w:hAnsi="Verdana" w:cs="Verdana"/>
                <w:sz w:val="18"/>
              </w:rPr>
              <w:t>P</w:t>
            </w:r>
          </w:p>
        </w:tc>
        <w:tc>
          <w:tcPr>
            <w:tcW w:w="0" w:type="auto"/>
            <w:tcBorders>
              <w:top w:val="single" w:sz="9" w:space="0" w:color="0E3EF0"/>
              <w:left w:val="single" w:sz="7" w:space="0" w:color="000000"/>
              <w:bottom w:val="single" w:sz="9" w:space="0" w:color="0E3EF0"/>
              <w:right w:val="single" w:sz="7"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P</w:t>
            </w:r>
            <w:r>
              <w:rPr>
                <w:rFonts w:ascii="Verdana" w:hAnsi="Verdana" w:cs="Verdana"/>
                <w:sz w:val="18"/>
                <w:vertAlign w:val="subscript"/>
              </w:rPr>
              <w:t>f</w:t>
            </w:r>
          </w:p>
        </w:tc>
        <w:tc>
          <w:tcPr>
            <w:tcW w:w="0" w:type="auto"/>
            <w:tcBorders>
              <w:top w:val="single" w:sz="9" w:space="0" w:color="0E3EF0"/>
              <w:left w:val="single" w:sz="7"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Ø</w:t>
            </w:r>
          </w:p>
        </w:tc>
        <w:tc>
          <w:tcPr>
            <w:tcW w:w="0" w:type="auto"/>
            <w:tcBorders>
              <w:top w:val="single" w:sz="9" w:space="0" w:color="0E3EF0"/>
              <w:left w:val="single" w:sz="2" w:space="0" w:color="000000"/>
              <w:bottom w:val="single" w:sz="9" w:space="0" w:color="0E3EF0"/>
              <w:right w:val="single" w:sz="9" w:space="0" w:color="0E3EF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DN</w:t>
            </w:r>
          </w:p>
        </w:tc>
      </w:tr>
      <w:tr w:rsidR="00CD38B3" w:rsidTr="00CD38B3">
        <w:trPr>
          <w:cantSplit/>
          <w:jc w:val="center"/>
        </w:trPr>
        <w:tc>
          <w:tcPr>
            <w:tcW w:w="0" w:type="auto"/>
            <w:tcBorders>
              <w:top w:val="single" w:sz="9" w:space="0" w:color="0E3EF0"/>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b/>
                <w:sz w:val="18"/>
              </w:rPr>
              <w:t>A1 -&gt; A (Planta baja)</w:t>
            </w:r>
          </w:p>
        </w:tc>
        <w:tc>
          <w:tcPr>
            <w:tcW w:w="0" w:type="auto"/>
            <w:tcBorders>
              <w:top w:val="single" w:sz="9" w:space="0" w:color="0E3EF0"/>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3.52</w:t>
            </w:r>
          </w:p>
        </w:tc>
        <w:tc>
          <w:tcPr>
            <w:tcW w:w="0" w:type="auto"/>
            <w:tcBorders>
              <w:top w:val="single" w:sz="9" w:space="0" w:color="0E3EF0"/>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3.258</w:t>
            </w:r>
          </w:p>
        </w:tc>
        <w:tc>
          <w:tcPr>
            <w:tcW w:w="0" w:type="auto"/>
            <w:tcBorders>
              <w:top w:val="single" w:sz="9" w:space="0" w:color="0E3EF0"/>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58.14</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3.52</w:t>
            </w:r>
          </w:p>
        </w:tc>
        <w:tc>
          <w:tcPr>
            <w:tcW w:w="0" w:type="auto"/>
            <w:tcBorders>
              <w:top w:val="single" w:sz="9" w:space="0" w:color="0E3EF0"/>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0.07</w:t>
            </w:r>
          </w:p>
        </w:tc>
        <w:tc>
          <w:tcPr>
            <w:tcW w:w="0" w:type="auto"/>
            <w:tcBorders>
              <w:top w:val="single" w:sz="9" w:space="0" w:color="0E3EF0"/>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54.55</w:t>
            </w:r>
          </w:p>
        </w:tc>
        <w:tc>
          <w:tcPr>
            <w:tcW w:w="0" w:type="auto"/>
            <w:tcBorders>
              <w:top w:val="single" w:sz="9" w:space="0" w:color="0E3EF0"/>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top w:val="single" w:sz="9" w:space="0" w:color="0E3EF0"/>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A -&gt; B</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8.38</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3.258</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54.55</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0.08</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0.17</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54.30</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B -&gt; C</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15.77</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3.258</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54.30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0.32</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53.97</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C -&gt; D</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18.18</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3.258</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53.97</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0.37</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53.60</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D -&gt; E</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12.98</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3.258</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53.60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-0.08</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0.27</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53.41</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E -&gt; F</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1.43</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3.258</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53.41</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0.03</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53.38</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bottom w:val="single" w:sz="5" w:space="0" w:color="B4B4B4"/>
              <w:right w:val="single" w:sz="2" w:space="0" w:color="000000"/>
            </w:tcBorders>
          </w:tcPr>
          <w:p w:rsidR="00CD38B3" w:rsidRDefault="00CD38B3" w:rsidP="00CD38B3">
            <w:pPr>
              <w:rPr>
                <w:rFonts w:ascii="Verdana" w:hAnsi="Verdana" w:cs="Verdana"/>
                <w:sz w:val="18"/>
              </w:rPr>
            </w:pPr>
            <w:r>
              <w:rPr>
                <w:rFonts w:ascii="Verdana" w:hAnsi="Verdana" w:cs="Verdana"/>
                <w:sz w:val="18"/>
              </w:rPr>
              <w:t>F -&gt; G</w:t>
            </w:r>
          </w:p>
        </w:tc>
        <w:tc>
          <w:tcPr>
            <w:tcW w:w="0" w:type="auto"/>
            <w:tcBorders>
              <w:left w:val="single" w:sz="2" w:space="0" w:color="000000"/>
              <w:bottom w:val="single" w:sz="5" w:space="0" w:color="B4B4B4"/>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1.69</w:t>
            </w:r>
          </w:p>
        </w:tc>
        <w:tc>
          <w:tcPr>
            <w:tcW w:w="0" w:type="auto"/>
            <w:tcBorders>
              <w:left w:val="single" w:sz="7" w:space="0" w:color="000000"/>
              <w:bottom w:val="single" w:sz="5" w:space="0" w:color="B4B4B4"/>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3.258</w:t>
            </w:r>
          </w:p>
        </w:tc>
        <w:tc>
          <w:tcPr>
            <w:tcW w:w="0" w:type="auto"/>
            <w:tcBorders>
              <w:left w:val="single" w:sz="7"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53.38</w:t>
            </w:r>
          </w:p>
        </w:tc>
        <w:tc>
          <w:tcPr>
            <w:tcW w:w="0" w:type="auto"/>
            <w:tcBorders>
              <w:left w:val="single" w:sz="2"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bottom w:val="single" w:sz="5" w:space="0" w:color="B4B4B4"/>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0.03</w:t>
            </w:r>
          </w:p>
        </w:tc>
        <w:tc>
          <w:tcPr>
            <w:tcW w:w="0" w:type="auto"/>
            <w:tcBorders>
              <w:left w:val="single" w:sz="7" w:space="0" w:color="000000"/>
              <w:bottom w:val="single" w:sz="5" w:space="0" w:color="B4B4B4"/>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53.35</w:t>
            </w:r>
          </w:p>
        </w:tc>
        <w:tc>
          <w:tcPr>
            <w:tcW w:w="0" w:type="auto"/>
            <w:tcBorders>
              <w:left w:val="single" w:sz="7"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bottom w:val="single" w:sz="5" w:space="0" w:color="B4B4B4"/>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top w:val="single" w:sz="5" w:space="0" w:color="B4B4B4"/>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G -&gt; H</w:t>
            </w:r>
          </w:p>
        </w:tc>
        <w:tc>
          <w:tcPr>
            <w:tcW w:w="0" w:type="auto"/>
            <w:tcBorders>
              <w:top w:val="single" w:sz="5" w:space="0" w:color="B4B4B4"/>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2.17</w:t>
            </w:r>
          </w:p>
        </w:tc>
        <w:tc>
          <w:tcPr>
            <w:tcW w:w="0" w:type="auto"/>
            <w:tcBorders>
              <w:top w:val="single" w:sz="5" w:space="0" w:color="B4B4B4"/>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1.629</w:t>
            </w:r>
          </w:p>
        </w:tc>
        <w:tc>
          <w:tcPr>
            <w:tcW w:w="0" w:type="auto"/>
            <w:tcBorders>
              <w:top w:val="single" w:sz="5" w:space="0" w:color="B4B4B4"/>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0.7</w:t>
            </w:r>
          </w:p>
        </w:tc>
        <w:tc>
          <w:tcPr>
            <w:tcW w:w="0" w:type="auto"/>
            <w:tcBorders>
              <w:top w:val="single" w:sz="5" w:space="0" w:color="B4B4B4"/>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top w:val="single" w:sz="5" w:space="0" w:color="B4B4B4"/>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53.35</w:t>
            </w:r>
          </w:p>
        </w:tc>
        <w:tc>
          <w:tcPr>
            <w:tcW w:w="0" w:type="auto"/>
            <w:tcBorders>
              <w:top w:val="single" w:sz="5" w:space="0" w:color="B4B4B4"/>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top w:val="single" w:sz="5" w:space="0" w:color="B4B4B4"/>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0.04</w:t>
            </w:r>
          </w:p>
        </w:tc>
        <w:tc>
          <w:tcPr>
            <w:tcW w:w="0" w:type="auto"/>
            <w:tcBorders>
              <w:top w:val="single" w:sz="5" w:space="0" w:color="B4B4B4"/>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53.31</w:t>
            </w:r>
          </w:p>
        </w:tc>
        <w:tc>
          <w:tcPr>
            <w:tcW w:w="0" w:type="auto"/>
            <w:tcBorders>
              <w:top w:val="single" w:sz="5" w:space="0" w:color="B4B4B4"/>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53.1</w:t>
            </w:r>
          </w:p>
        </w:tc>
        <w:tc>
          <w:tcPr>
            <w:tcW w:w="0" w:type="auto"/>
            <w:tcBorders>
              <w:top w:val="single" w:sz="5" w:space="0" w:color="B4B4B4"/>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w:t>
            </w:r>
          </w:p>
        </w:tc>
      </w:tr>
      <w:tr w:rsidR="00CD38B3" w:rsidTr="00CD38B3">
        <w:trPr>
          <w:cantSplit/>
          <w:jc w:val="center"/>
        </w:trPr>
        <w:tc>
          <w:tcPr>
            <w:tcW w:w="0" w:type="auto"/>
            <w:tcBorders>
              <w:left w:val="single" w:sz="9" w:space="0" w:color="0E3EF0"/>
              <w:bottom w:val="single" w:sz="5"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H -&gt; A2</w:t>
            </w:r>
          </w:p>
        </w:tc>
        <w:tc>
          <w:tcPr>
            <w:tcW w:w="0" w:type="auto"/>
            <w:tcBorders>
              <w:left w:val="single" w:sz="2"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2.22</w:t>
            </w:r>
          </w:p>
        </w:tc>
        <w:tc>
          <w:tcPr>
            <w:tcW w:w="0" w:type="auto"/>
            <w:tcBorders>
              <w:left w:val="single" w:sz="7"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1.629</w:t>
            </w:r>
          </w:p>
        </w:tc>
        <w:tc>
          <w:tcPr>
            <w:tcW w:w="0" w:type="auto"/>
            <w:tcBorders>
              <w:left w:val="single" w:sz="7"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134</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53.31</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-2.22</w:t>
            </w:r>
          </w:p>
        </w:tc>
        <w:tc>
          <w:tcPr>
            <w:tcW w:w="0" w:type="auto"/>
            <w:tcBorders>
              <w:left w:val="single" w:sz="2"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0.30</w:t>
            </w:r>
          </w:p>
        </w:tc>
        <w:tc>
          <w:tcPr>
            <w:tcW w:w="0" w:type="auto"/>
            <w:tcBorders>
              <w:left w:val="single" w:sz="7"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55.23</w:t>
            </w:r>
          </w:p>
        </w:tc>
        <w:tc>
          <w:tcPr>
            <w:tcW w:w="0" w:type="auto"/>
            <w:tcBorders>
              <w:left w:val="single" w:sz="7"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36.0</w:t>
            </w:r>
          </w:p>
        </w:tc>
        <w:tc>
          <w:tcPr>
            <w:tcW w:w="0" w:type="auto"/>
            <w:tcBorders>
              <w:left w:val="single" w:sz="2" w:space="0" w:color="000000"/>
              <w:bottom w:val="single" w:sz="5" w:space="0" w:color="0E3EF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1 1/4"</w:t>
            </w:r>
          </w:p>
        </w:tc>
      </w:tr>
      <w:tr w:rsidR="00CD38B3" w:rsidTr="00CD38B3">
        <w:trPr>
          <w:cantSplit/>
          <w:jc w:val="center"/>
        </w:trPr>
        <w:tc>
          <w:tcPr>
            <w:tcW w:w="0" w:type="auto"/>
            <w:gridSpan w:val="2"/>
            <w:tcBorders>
              <w:top w:val="single" w:sz="5" w:space="0" w:color="0E3EF0"/>
              <w:left w:val="single" w:sz="9" w:space="0" w:color="0E3EF0"/>
              <w:bottom w:val="single" w:sz="9" w:space="0" w:color="0E3EF0"/>
              <w:right w:val="single" w:sz="7" w:space="0" w:color="000000"/>
            </w:tcBorders>
          </w:tcPr>
          <w:p w:rsidR="00CD38B3" w:rsidRDefault="00CD38B3" w:rsidP="00CD38B3">
            <w:pPr>
              <w:rPr>
                <w:rFonts w:ascii="Verdana" w:hAnsi="Verdana" w:cs="Verdana"/>
                <w:sz w:val="18"/>
              </w:rPr>
            </w:pPr>
            <w:r>
              <w:rPr>
                <w:rFonts w:ascii="Verdana" w:hAnsi="Verdana" w:cs="Verdana"/>
                <w:b/>
                <w:sz w:val="18"/>
              </w:rPr>
              <w:t>A2, BIE 25 mm</w:t>
            </w:r>
            <w:r>
              <w:rPr>
                <w:rFonts w:ascii="Verdana" w:hAnsi="Verdana" w:cs="Verdana"/>
                <w:sz w:val="18"/>
              </w:rPr>
              <w:t xml:space="preserve"> </w:t>
            </w:r>
            <w:r>
              <w:rPr>
                <w:rFonts w:ascii="Verdana" w:hAnsi="Verdana" w:cs="Verdana"/>
                <w:sz w:val="14"/>
              </w:rPr>
              <w:t>(K = 42), (Planta baja)</w:t>
            </w:r>
          </w:p>
        </w:tc>
        <w:tc>
          <w:tcPr>
            <w:tcW w:w="0" w:type="auto"/>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jc w:val="center"/>
              <w:rPr>
                <w:rFonts w:ascii="Verdana" w:hAnsi="Verdana" w:cs="Verdana"/>
                <w:b/>
                <w:sz w:val="18"/>
              </w:rPr>
            </w:pPr>
            <w:r>
              <w:rPr>
                <w:rFonts w:ascii="Verdana" w:hAnsi="Verdana" w:cs="Verdana"/>
                <w:b/>
                <w:sz w:val="18"/>
              </w:rPr>
              <w:t>1.629</w:t>
            </w:r>
          </w:p>
        </w:tc>
        <w:tc>
          <w:tcPr>
            <w:tcW w:w="0" w:type="auto"/>
            <w:gridSpan w:val="5"/>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rPr>
                <w:rFonts w:ascii="Verdana" w:hAnsi="Verdana" w:cs="Verdana"/>
                <w:sz w:val="18"/>
              </w:rPr>
            </w:pPr>
            <w:r>
              <w:rPr>
                <w:rFonts w:ascii="Verdana" w:hAnsi="Verdana" w:cs="Verdana"/>
                <w:sz w:val="18"/>
              </w:rPr>
              <w:t xml:space="preserve"> </w:t>
            </w:r>
          </w:p>
        </w:tc>
        <w:tc>
          <w:tcPr>
            <w:tcW w:w="0" w:type="auto"/>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jc w:val="center"/>
              <w:rPr>
                <w:rFonts w:ascii="Verdana" w:hAnsi="Verdana" w:cs="Verdana"/>
                <w:b/>
                <w:sz w:val="18"/>
              </w:rPr>
            </w:pPr>
            <w:r>
              <w:rPr>
                <w:rFonts w:ascii="Verdana" w:hAnsi="Verdana" w:cs="Verdana"/>
                <w:b/>
                <w:sz w:val="18"/>
              </w:rPr>
              <w:t>55.23</w:t>
            </w:r>
          </w:p>
        </w:tc>
        <w:tc>
          <w:tcPr>
            <w:tcW w:w="0" w:type="auto"/>
            <w:gridSpan w:val="2"/>
            <w:tcBorders>
              <w:top w:val="single" w:sz="5" w:space="0" w:color="0E3EF0"/>
              <w:left w:val="single" w:sz="7" w:space="0" w:color="000000"/>
              <w:bottom w:val="single" w:sz="9" w:space="0" w:color="0E3EF0"/>
              <w:right w:val="single" w:sz="9" w:space="0" w:color="0E3EF0"/>
            </w:tcBorders>
            <w:noWrap/>
            <w:vAlign w:val="center"/>
          </w:tcPr>
          <w:p w:rsidR="00CD38B3" w:rsidRDefault="00CD38B3" w:rsidP="00CD38B3">
            <w:pPr>
              <w:rPr>
                <w:rFonts w:ascii="Verdana" w:hAnsi="Verdana" w:cs="Verdana"/>
                <w:sz w:val="18"/>
              </w:rPr>
            </w:pPr>
            <w:r>
              <w:rPr>
                <w:rFonts w:ascii="Verdana" w:hAnsi="Verdana" w:cs="Verdana"/>
                <w:sz w:val="18"/>
              </w:rPr>
              <w:t xml:space="preserve"> </w:t>
            </w:r>
          </w:p>
        </w:tc>
      </w:tr>
      <w:tr w:rsidR="00CD38B3" w:rsidTr="00CD38B3">
        <w:trPr>
          <w:cantSplit/>
          <w:jc w:val="center"/>
        </w:trPr>
        <w:tc>
          <w:tcPr>
            <w:tcW w:w="0" w:type="auto"/>
            <w:tcBorders>
              <w:top w:val="single" w:sz="9" w:space="0" w:color="0E3EF0"/>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G -&gt; I</w:t>
            </w:r>
          </w:p>
        </w:tc>
        <w:tc>
          <w:tcPr>
            <w:tcW w:w="0" w:type="auto"/>
            <w:tcBorders>
              <w:top w:val="single" w:sz="9" w:space="0" w:color="0E3EF0"/>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1.95</w:t>
            </w:r>
          </w:p>
        </w:tc>
        <w:tc>
          <w:tcPr>
            <w:tcW w:w="0" w:type="auto"/>
            <w:tcBorders>
              <w:top w:val="single" w:sz="9" w:space="0" w:color="0E3EF0"/>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1.629</w:t>
            </w:r>
          </w:p>
        </w:tc>
        <w:tc>
          <w:tcPr>
            <w:tcW w:w="0" w:type="auto"/>
            <w:tcBorders>
              <w:top w:val="single" w:sz="9" w:space="0" w:color="0E3EF0"/>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0.7</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53.35</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top w:val="single" w:sz="9" w:space="0" w:color="0E3EF0"/>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0.04</w:t>
            </w:r>
          </w:p>
        </w:tc>
        <w:tc>
          <w:tcPr>
            <w:tcW w:w="0" w:type="auto"/>
            <w:tcBorders>
              <w:top w:val="single" w:sz="9" w:space="0" w:color="0E3EF0"/>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53.31</w:t>
            </w:r>
          </w:p>
        </w:tc>
        <w:tc>
          <w:tcPr>
            <w:tcW w:w="0" w:type="auto"/>
            <w:tcBorders>
              <w:top w:val="single" w:sz="9" w:space="0" w:color="0E3EF0"/>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53.1</w:t>
            </w:r>
          </w:p>
        </w:tc>
        <w:tc>
          <w:tcPr>
            <w:tcW w:w="0" w:type="auto"/>
            <w:tcBorders>
              <w:top w:val="single" w:sz="9" w:space="0" w:color="0E3EF0"/>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I -&gt; J</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2.76</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1.629</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0.7</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53.31</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0.06</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53.26</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53.1</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w:t>
            </w:r>
          </w:p>
        </w:tc>
      </w:tr>
      <w:tr w:rsidR="00CD38B3" w:rsidTr="00CD38B3">
        <w:trPr>
          <w:cantSplit/>
          <w:jc w:val="center"/>
        </w:trPr>
        <w:tc>
          <w:tcPr>
            <w:tcW w:w="0" w:type="auto"/>
            <w:tcBorders>
              <w:left w:val="single" w:sz="9" w:space="0" w:color="0E3EF0"/>
              <w:bottom w:val="single" w:sz="5"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J -&gt; A4</w:t>
            </w:r>
          </w:p>
        </w:tc>
        <w:tc>
          <w:tcPr>
            <w:tcW w:w="0" w:type="auto"/>
            <w:tcBorders>
              <w:left w:val="single" w:sz="2"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2.22</w:t>
            </w:r>
          </w:p>
        </w:tc>
        <w:tc>
          <w:tcPr>
            <w:tcW w:w="0" w:type="auto"/>
            <w:tcBorders>
              <w:left w:val="single" w:sz="7"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1.629</w:t>
            </w:r>
          </w:p>
        </w:tc>
        <w:tc>
          <w:tcPr>
            <w:tcW w:w="0" w:type="auto"/>
            <w:tcBorders>
              <w:left w:val="single" w:sz="7"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134</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53.26</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-2.22</w:t>
            </w:r>
          </w:p>
        </w:tc>
        <w:tc>
          <w:tcPr>
            <w:tcW w:w="0" w:type="auto"/>
            <w:tcBorders>
              <w:left w:val="single" w:sz="2"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0.30</w:t>
            </w:r>
          </w:p>
        </w:tc>
        <w:tc>
          <w:tcPr>
            <w:tcW w:w="0" w:type="auto"/>
            <w:tcBorders>
              <w:left w:val="single" w:sz="7"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55.18</w:t>
            </w:r>
          </w:p>
        </w:tc>
        <w:tc>
          <w:tcPr>
            <w:tcW w:w="0" w:type="auto"/>
            <w:tcBorders>
              <w:left w:val="single" w:sz="7"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36.0</w:t>
            </w:r>
          </w:p>
        </w:tc>
        <w:tc>
          <w:tcPr>
            <w:tcW w:w="0" w:type="auto"/>
            <w:tcBorders>
              <w:left w:val="single" w:sz="2" w:space="0" w:color="000000"/>
              <w:bottom w:val="single" w:sz="5" w:space="0" w:color="0E3EF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1 1/4"</w:t>
            </w:r>
          </w:p>
        </w:tc>
      </w:tr>
      <w:tr w:rsidR="00CD38B3" w:rsidTr="00CD38B3">
        <w:trPr>
          <w:cantSplit/>
          <w:jc w:val="center"/>
        </w:trPr>
        <w:tc>
          <w:tcPr>
            <w:tcW w:w="0" w:type="auto"/>
            <w:gridSpan w:val="2"/>
            <w:tcBorders>
              <w:top w:val="single" w:sz="5" w:space="0" w:color="0E3EF0"/>
              <w:left w:val="single" w:sz="9" w:space="0" w:color="0E3EF0"/>
              <w:bottom w:val="single" w:sz="9" w:space="0" w:color="0E3EF0"/>
              <w:right w:val="single" w:sz="7" w:space="0" w:color="000000"/>
            </w:tcBorders>
          </w:tcPr>
          <w:p w:rsidR="00CD38B3" w:rsidRDefault="00CD38B3" w:rsidP="00CD38B3">
            <w:pPr>
              <w:rPr>
                <w:rFonts w:ascii="Verdana" w:hAnsi="Verdana" w:cs="Verdana"/>
                <w:sz w:val="18"/>
              </w:rPr>
            </w:pPr>
            <w:r>
              <w:rPr>
                <w:rFonts w:ascii="Verdana" w:hAnsi="Verdana" w:cs="Verdana"/>
                <w:b/>
                <w:sz w:val="18"/>
              </w:rPr>
              <w:t>A4, BIE 25 mm</w:t>
            </w:r>
            <w:r>
              <w:rPr>
                <w:rFonts w:ascii="Verdana" w:hAnsi="Verdana" w:cs="Verdana"/>
                <w:sz w:val="18"/>
              </w:rPr>
              <w:t xml:space="preserve"> </w:t>
            </w:r>
            <w:r>
              <w:rPr>
                <w:rFonts w:ascii="Verdana" w:hAnsi="Verdana" w:cs="Verdana"/>
                <w:sz w:val="14"/>
              </w:rPr>
              <w:t>(K = 42), (Planta baja)</w:t>
            </w:r>
          </w:p>
        </w:tc>
        <w:tc>
          <w:tcPr>
            <w:tcW w:w="0" w:type="auto"/>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jc w:val="center"/>
              <w:rPr>
                <w:rFonts w:ascii="Verdana" w:hAnsi="Verdana" w:cs="Verdana"/>
                <w:b/>
                <w:sz w:val="18"/>
              </w:rPr>
            </w:pPr>
            <w:r>
              <w:rPr>
                <w:rFonts w:ascii="Verdana" w:hAnsi="Verdana" w:cs="Verdana"/>
                <w:b/>
                <w:sz w:val="18"/>
              </w:rPr>
              <w:t>1.629</w:t>
            </w:r>
          </w:p>
        </w:tc>
        <w:tc>
          <w:tcPr>
            <w:tcW w:w="0" w:type="auto"/>
            <w:gridSpan w:val="5"/>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rPr>
                <w:rFonts w:ascii="Verdana" w:hAnsi="Verdana" w:cs="Verdana"/>
                <w:sz w:val="18"/>
              </w:rPr>
            </w:pPr>
            <w:r>
              <w:rPr>
                <w:rFonts w:ascii="Verdana" w:hAnsi="Verdana" w:cs="Verdana"/>
                <w:sz w:val="18"/>
              </w:rPr>
              <w:t xml:space="preserve"> </w:t>
            </w:r>
          </w:p>
        </w:tc>
        <w:tc>
          <w:tcPr>
            <w:tcW w:w="0" w:type="auto"/>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jc w:val="center"/>
              <w:rPr>
                <w:rFonts w:ascii="Verdana" w:hAnsi="Verdana" w:cs="Verdana"/>
                <w:b/>
                <w:sz w:val="18"/>
              </w:rPr>
            </w:pPr>
            <w:r>
              <w:rPr>
                <w:rFonts w:ascii="Verdana" w:hAnsi="Verdana" w:cs="Verdana"/>
                <w:b/>
                <w:sz w:val="18"/>
              </w:rPr>
              <w:t>55.18</w:t>
            </w:r>
          </w:p>
        </w:tc>
        <w:tc>
          <w:tcPr>
            <w:tcW w:w="0" w:type="auto"/>
            <w:gridSpan w:val="2"/>
            <w:tcBorders>
              <w:top w:val="single" w:sz="5" w:space="0" w:color="0E3EF0"/>
              <w:left w:val="single" w:sz="7" w:space="0" w:color="000000"/>
              <w:bottom w:val="single" w:sz="9" w:space="0" w:color="0E3EF0"/>
              <w:right w:val="single" w:sz="9" w:space="0" w:color="0E3EF0"/>
            </w:tcBorders>
            <w:noWrap/>
            <w:vAlign w:val="center"/>
          </w:tcPr>
          <w:p w:rsidR="00CD38B3" w:rsidRDefault="00CD38B3" w:rsidP="00CD38B3">
            <w:pPr>
              <w:rPr>
                <w:rFonts w:ascii="Verdana" w:hAnsi="Verdana" w:cs="Verdana"/>
                <w:sz w:val="18"/>
              </w:rPr>
            </w:pPr>
            <w:r>
              <w:rPr>
                <w:rFonts w:ascii="Verdana" w:hAnsi="Verdana" w:cs="Verdana"/>
                <w:sz w:val="18"/>
              </w:rPr>
              <w:t xml:space="preserve"> </w:t>
            </w:r>
          </w:p>
        </w:tc>
      </w:tr>
      <w:tr w:rsidR="00CD38B3" w:rsidTr="00CD38B3">
        <w:trPr>
          <w:cantSplit/>
          <w:jc w:val="center"/>
        </w:trPr>
        <w:tc>
          <w:tcPr>
            <w:tcW w:w="0" w:type="auto"/>
            <w:gridSpan w:val="11"/>
            <w:tcBorders>
              <w:top w:val="single" w:sz="9" w:space="0" w:color="0E3EF0"/>
            </w:tcBorders>
            <w:tcMar>
              <w:top w:w="17" w:type="dxa"/>
              <w:left w:w="85" w:type="dxa"/>
              <w:bottom w:w="23" w:type="dxa"/>
              <w:right w:w="85" w:type="dxa"/>
            </w:tcMar>
            <w:vAlign w:val="center"/>
          </w:tcPr>
          <w:p w:rsidR="00CD38B3" w:rsidRDefault="00CD38B3" w:rsidP="00CD38B3">
            <w:pPr>
              <w:rPr>
                <w:rFonts w:ascii="Verdana" w:hAnsi="Verdana" w:cs="Verdana"/>
                <w:i/>
                <w:sz w:val="14"/>
              </w:rPr>
            </w:pPr>
            <w:r>
              <w:rPr>
                <w:rFonts w:ascii="Verdana" w:hAnsi="Verdana" w:cs="Verdana"/>
                <w:i/>
                <w:sz w:val="14"/>
              </w:rPr>
              <w:t>Notas:</w:t>
            </w:r>
          </w:p>
          <w:p w:rsidR="00CD38B3" w:rsidRDefault="00CD38B3" w:rsidP="00CD38B3">
            <w:pPr>
              <w:ind w:left="283"/>
              <w:rPr>
                <w:rFonts w:ascii="Verdana" w:hAnsi="Verdana" w:cs="Verdana"/>
                <w:i/>
                <w:sz w:val="14"/>
              </w:rPr>
            </w:pPr>
            <w:r>
              <w:rPr>
                <w:rFonts w:ascii="Verdana" w:hAnsi="Verdana" w:cs="Verdana"/>
                <w:i/>
                <w:sz w:val="14"/>
              </w:rPr>
              <w:t>L: Longitud real del tramo</w:t>
            </w:r>
          </w:p>
          <w:p w:rsidR="00CD38B3" w:rsidRDefault="00CD38B3" w:rsidP="00CD38B3">
            <w:pPr>
              <w:ind w:left="283"/>
              <w:rPr>
                <w:rFonts w:ascii="Verdana" w:hAnsi="Verdana" w:cs="Verdana"/>
                <w:i/>
                <w:sz w:val="14"/>
              </w:rPr>
            </w:pPr>
            <w:r>
              <w:rPr>
                <w:rFonts w:ascii="Verdana" w:hAnsi="Verdana" w:cs="Verdana"/>
                <w:i/>
                <w:sz w:val="14"/>
              </w:rPr>
              <w:t>Q: Caudal</w:t>
            </w:r>
          </w:p>
          <w:p w:rsidR="00CD38B3" w:rsidRDefault="00CD38B3" w:rsidP="00CD38B3">
            <w:pPr>
              <w:ind w:left="283"/>
              <w:rPr>
                <w:rFonts w:ascii="Verdana" w:hAnsi="Verdana" w:cs="Verdana"/>
                <w:i/>
                <w:sz w:val="14"/>
              </w:rPr>
            </w:pPr>
            <w:r>
              <w:rPr>
                <w:rFonts w:ascii="Verdana" w:hAnsi="Verdana" w:cs="Verdana"/>
                <w:i/>
                <w:sz w:val="14"/>
              </w:rPr>
              <w:t>v: Velocidad</w:t>
            </w:r>
          </w:p>
          <w:p w:rsidR="00CD38B3" w:rsidRDefault="00CD38B3" w:rsidP="00CD38B3">
            <w:pPr>
              <w:ind w:left="283"/>
              <w:rPr>
                <w:rFonts w:ascii="Verdana" w:hAnsi="Verdana" w:cs="Verdana"/>
                <w:i/>
                <w:sz w:val="14"/>
              </w:rPr>
            </w:pPr>
            <w:r>
              <w:rPr>
                <w:rFonts w:ascii="Verdana" w:hAnsi="Verdana" w:cs="Verdana"/>
                <w:i/>
                <w:sz w:val="14"/>
              </w:rPr>
              <w:t>J: Pérdida de carga en el tramo</w:t>
            </w:r>
          </w:p>
          <w:p w:rsidR="00CD38B3" w:rsidRDefault="00CD38B3" w:rsidP="00CD38B3">
            <w:pPr>
              <w:ind w:left="283"/>
              <w:rPr>
                <w:rFonts w:ascii="Verdana" w:hAnsi="Verdana" w:cs="Verdana"/>
                <w:i/>
                <w:sz w:val="14"/>
              </w:rPr>
            </w:pPr>
            <w:r>
              <w:rPr>
                <w:rFonts w:ascii="Verdana" w:hAnsi="Verdana" w:cs="Verdana"/>
                <w:i/>
                <w:sz w:val="14"/>
              </w:rPr>
              <w:t>P</w:t>
            </w:r>
            <w:r>
              <w:rPr>
                <w:rFonts w:ascii="Verdana" w:hAnsi="Verdana" w:cs="Verdana"/>
                <w:i/>
                <w:sz w:val="14"/>
                <w:vertAlign w:val="subscript"/>
              </w:rPr>
              <w:t>i</w:t>
            </w:r>
            <w:r>
              <w:rPr>
                <w:rFonts w:ascii="Verdana" w:hAnsi="Verdana" w:cs="Verdana"/>
                <w:i/>
                <w:sz w:val="14"/>
              </w:rPr>
              <w:t>: Presión de entrada al tramo</w:t>
            </w:r>
          </w:p>
          <w:p w:rsidR="00CD38B3" w:rsidRDefault="00CD38B3" w:rsidP="00CD38B3">
            <w:pPr>
              <w:ind w:left="283"/>
              <w:rPr>
                <w:rFonts w:ascii="Verdana" w:hAnsi="Verdana" w:cs="Verdana"/>
                <w:i/>
                <w:sz w:val="14"/>
              </w:rPr>
            </w:pPr>
            <w:r>
              <w:rPr>
                <w:rFonts w:ascii="Symbol" w:hAnsi="Symbol" w:cs="Symbol"/>
                <w:i/>
                <w:sz w:val="14"/>
              </w:rPr>
              <w:t></w:t>
            </w:r>
            <w:r>
              <w:rPr>
                <w:rFonts w:ascii="Verdana" w:hAnsi="Verdana" w:cs="Verdana"/>
                <w:i/>
                <w:sz w:val="14"/>
              </w:rPr>
              <w:t>h: Altura salvada por el tramo</w:t>
            </w:r>
          </w:p>
          <w:p w:rsidR="00CD38B3" w:rsidRDefault="00CD38B3" w:rsidP="00CD38B3">
            <w:pPr>
              <w:ind w:left="283"/>
              <w:rPr>
                <w:rFonts w:ascii="Verdana" w:hAnsi="Verdana" w:cs="Verdana"/>
                <w:i/>
                <w:sz w:val="14"/>
              </w:rPr>
            </w:pPr>
            <w:r>
              <w:rPr>
                <w:rFonts w:ascii="Symbol" w:hAnsi="Symbol" w:cs="Symbol"/>
                <w:i/>
                <w:sz w:val="14"/>
              </w:rPr>
              <w:t></w:t>
            </w:r>
            <w:r>
              <w:rPr>
                <w:rFonts w:ascii="Verdana" w:hAnsi="Verdana" w:cs="Verdana"/>
                <w:i/>
                <w:sz w:val="14"/>
              </w:rPr>
              <w:t>P: Caída de presión en el tramo</w:t>
            </w:r>
          </w:p>
          <w:p w:rsidR="00CD38B3" w:rsidRDefault="00CD38B3" w:rsidP="00CD38B3">
            <w:pPr>
              <w:ind w:left="283"/>
              <w:rPr>
                <w:rFonts w:ascii="Verdana" w:hAnsi="Verdana" w:cs="Verdana"/>
                <w:i/>
                <w:sz w:val="14"/>
              </w:rPr>
            </w:pPr>
            <w:r>
              <w:rPr>
                <w:rFonts w:ascii="Verdana" w:hAnsi="Verdana" w:cs="Verdana"/>
                <w:i/>
                <w:sz w:val="14"/>
              </w:rPr>
              <w:t>P</w:t>
            </w:r>
            <w:r>
              <w:rPr>
                <w:rFonts w:ascii="Verdana" w:hAnsi="Verdana" w:cs="Verdana"/>
                <w:i/>
                <w:sz w:val="14"/>
                <w:vertAlign w:val="subscript"/>
              </w:rPr>
              <w:t>f</w:t>
            </w:r>
            <w:r>
              <w:rPr>
                <w:rFonts w:ascii="Verdana" w:hAnsi="Verdana" w:cs="Verdana"/>
                <w:i/>
                <w:sz w:val="14"/>
              </w:rPr>
              <w:t>: Presión de salida</w:t>
            </w:r>
          </w:p>
          <w:p w:rsidR="00CD38B3" w:rsidRDefault="00CD38B3" w:rsidP="00CD38B3">
            <w:pPr>
              <w:ind w:left="283"/>
              <w:rPr>
                <w:rFonts w:ascii="Verdana" w:hAnsi="Verdana" w:cs="Verdana"/>
                <w:i/>
                <w:sz w:val="14"/>
              </w:rPr>
            </w:pPr>
            <w:r>
              <w:rPr>
                <w:rFonts w:ascii="Verdana" w:hAnsi="Verdana" w:cs="Verdana"/>
                <w:i/>
                <w:sz w:val="14"/>
              </w:rPr>
              <w:t>Ø: Diámetro interior de la tubería</w:t>
            </w:r>
          </w:p>
          <w:p w:rsidR="00CD38B3" w:rsidRDefault="00CD38B3" w:rsidP="00CD38B3">
            <w:pPr>
              <w:ind w:left="283"/>
              <w:rPr>
                <w:rFonts w:ascii="Verdana" w:hAnsi="Verdana" w:cs="Verdana"/>
                <w:i/>
                <w:sz w:val="14"/>
              </w:rPr>
            </w:pPr>
            <w:r>
              <w:rPr>
                <w:rFonts w:ascii="Verdana" w:hAnsi="Verdana" w:cs="Verdana"/>
                <w:i/>
                <w:sz w:val="14"/>
              </w:rPr>
              <w:t>DN: Diámetro nominal de la tubería</w:t>
            </w:r>
          </w:p>
        </w:tc>
      </w:tr>
    </w:tbl>
    <w:p w:rsidR="00CD38B3" w:rsidRDefault="00CD38B3" w:rsidP="00CD38B3">
      <w:pPr>
        <w:spacing w:line="2" w:lineRule="auto"/>
      </w:pPr>
    </w:p>
    <w:p w:rsidR="00CD38B3" w:rsidRDefault="00CD38B3" w:rsidP="00CD38B3">
      <w:r>
        <w:rPr>
          <w:rFonts w:ascii="Verdana" w:hAnsi="Verdana" w:cs="Verdana"/>
          <w:sz w:val="18"/>
        </w:rPr>
        <w:t xml:space="preserve">  </w:t>
      </w:r>
    </w:p>
    <w:p w:rsidR="00CD38B3" w:rsidRDefault="00CD38B3" w:rsidP="00CD38B3">
      <w:pPr>
        <w:pageBreakBefore/>
        <w:spacing w:line="2" w:lineRule="auto"/>
      </w:pPr>
    </w:p>
    <w:p w:rsidR="00CD38B3" w:rsidRDefault="00CD38B3" w:rsidP="00CD38B3">
      <w:pPr>
        <w:keepNext/>
        <w:spacing w:after="205"/>
        <w:rPr>
          <w:rFonts w:ascii="Verdana" w:hAnsi="Verdana" w:cs="Verdana"/>
          <w:sz w:val="18"/>
        </w:rPr>
      </w:pPr>
      <w:r>
        <w:rPr>
          <w:rFonts w:ascii="Verdana" w:hAnsi="Verdana" w:cs="Verdana"/>
          <w:sz w:val="18"/>
        </w:rPr>
        <w:t>El dimensionado de la red de PCI se ha realizado atendiendo a las presiones mínimas necesarias en los puntos de consumo, hallando la zona más desfavorable de la red conforme a la simultaneidad de uso para los equipos presentes en la misma:</w:t>
      </w:r>
    </w:p>
    <w:p w:rsidR="00CD38B3" w:rsidRDefault="00CD38B3" w:rsidP="00CD38B3">
      <w:pPr>
        <w:spacing w:before="85" w:after="290"/>
        <w:ind w:left="420" w:hanging="136"/>
        <w:rPr>
          <w:rFonts w:ascii="Verdana" w:hAnsi="Verdana" w:cs="Verdana"/>
          <w:sz w:val="18"/>
        </w:rPr>
      </w:pPr>
      <w:r>
        <w:rPr>
          <w:rFonts w:ascii="Verdana" w:hAnsi="Verdana" w:cs="Verdana"/>
          <w:sz w:val="18"/>
        </w:rPr>
        <w:t>-</w:t>
      </w:r>
      <w:r>
        <w:rPr>
          <w:rFonts w:ascii="Verdana" w:hAnsi="Verdana" w:cs="Verdana"/>
          <w:sz w:val="18"/>
        </w:rPr>
        <w:tab/>
        <w:t xml:space="preserve">Simultaneidad para bocas de incendio equipadas (BIE): </w:t>
      </w:r>
      <w:r>
        <w:rPr>
          <w:rFonts w:ascii="Verdana" w:hAnsi="Verdana" w:cs="Verdana"/>
          <w:b/>
          <w:sz w:val="18"/>
        </w:rPr>
        <w:t>2</w:t>
      </w:r>
    </w:p>
    <w:p w:rsidR="00CD38B3" w:rsidRDefault="00CD38B3" w:rsidP="00CD38B3">
      <w:pPr>
        <w:keepNext/>
        <w:spacing w:after="85"/>
        <w:rPr>
          <w:rFonts w:ascii="Verdana" w:hAnsi="Verdana" w:cs="Verdana"/>
          <w:sz w:val="18"/>
        </w:rPr>
      </w:pPr>
      <w:r>
        <w:rPr>
          <w:rFonts w:ascii="Verdana" w:hAnsi="Verdana" w:cs="Verdana"/>
          <w:sz w:val="18"/>
        </w:rPr>
        <w:t>El punto de trabajo requerido para el grupo de presión '</w:t>
      </w:r>
      <w:r>
        <w:rPr>
          <w:rFonts w:ascii="Verdana" w:hAnsi="Verdana" w:cs="Verdana"/>
          <w:b/>
          <w:sz w:val="18"/>
        </w:rPr>
        <w:t>A1 (Planta baja)</w:t>
      </w:r>
      <w:r>
        <w:rPr>
          <w:rFonts w:ascii="Verdana" w:hAnsi="Verdana" w:cs="Verdana"/>
          <w:sz w:val="18"/>
        </w:rPr>
        <w:t>' es:</w:t>
      </w:r>
    </w:p>
    <w:p w:rsidR="00CD38B3" w:rsidRDefault="00CD38B3" w:rsidP="00CD38B3">
      <w:pPr>
        <w:keepNext/>
        <w:spacing w:after="205"/>
        <w:ind w:left="420" w:hanging="136"/>
        <w:rPr>
          <w:rFonts w:ascii="Verdana" w:hAnsi="Verdana" w:cs="Verdana"/>
          <w:sz w:val="18"/>
        </w:rPr>
      </w:pPr>
      <w:r>
        <w:rPr>
          <w:rFonts w:ascii="Verdana" w:hAnsi="Verdana" w:cs="Verdana"/>
          <w:sz w:val="18"/>
        </w:rPr>
        <w:t>-</w:t>
      </w:r>
      <w:r>
        <w:rPr>
          <w:rFonts w:ascii="Verdana" w:hAnsi="Verdana" w:cs="Verdana"/>
          <w:sz w:val="18"/>
        </w:rPr>
        <w:tab/>
        <w:t xml:space="preserve">Presión de salida: </w:t>
      </w:r>
      <w:r>
        <w:rPr>
          <w:rFonts w:ascii="Verdana" w:hAnsi="Verdana" w:cs="Verdana"/>
          <w:b/>
          <w:sz w:val="18"/>
        </w:rPr>
        <w:t>58.14 m.c.a.</w:t>
      </w:r>
    </w:p>
    <w:p w:rsidR="00CD38B3" w:rsidRDefault="00CD38B3" w:rsidP="00CD38B3">
      <w:pPr>
        <w:spacing w:after="290"/>
        <w:ind w:left="420" w:hanging="136"/>
        <w:rPr>
          <w:rFonts w:ascii="Verdana" w:hAnsi="Verdana" w:cs="Verdana"/>
          <w:sz w:val="18"/>
        </w:rPr>
      </w:pPr>
      <w:r>
        <w:rPr>
          <w:rFonts w:ascii="Verdana" w:hAnsi="Verdana" w:cs="Verdana"/>
          <w:sz w:val="18"/>
        </w:rPr>
        <w:t>-</w:t>
      </w:r>
      <w:r>
        <w:rPr>
          <w:rFonts w:ascii="Verdana" w:hAnsi="Verdana" w:cs="Verdana"/>
          <w:sz w:val="18"/>
        </w:rPr>
        <w:tab/>
        <w:t xml:space="preserve">Caudal de salida: </w:t>
      </w:r>
      <w:r>
        <w:rPr>
          <w:rFonts w:ascii="Verdana" w:hAnsi="Verdana" w:cs="Verdana"/>
          <w:b/>
          <w:sz w:val="18"/>
        </w:rPr>
        <w:t>3.258 l/s</w:t>
      </w:r>
    </w:p>
    <w:p w:rsidR="00CD38B3" w:rsidRDefault="00CD38B3" w:rsidP="00CD38B3">
      <w:pPr>
        <w:rPr>
          <w:rFonts w:ascii="Verdana" w:hAnsi="Verdana" w:cs="Verdana"/>
          <w:sz w:val="18"/>
        </w:rPr>
      </w:pPr>
      <w:r>
        <w:rPr>
          <w:rFonts w:ascii="Verdana" w:hAnsi="Verdana" w:cs="Verdana"/>
          <w:sz w:val="18"/>
        </w:rPr>
        <w:t>Cumpliendo también que, para un caudal de salida un 40% superior al nominal, la presión de salida del grupo es superior al 70% del punto de trabajo calculado.</w:t>
      </w:r>
    </w:p>
    <w:p w:rsidR="00CD38B3" w:rsidRDefault="00CD38B3" w:rsidP="00CD38B3">
      <w:r>
        <w:rPr>
          <w:rFonts w:ascii="Verdana" w:hAnsi="Verdana" w:cs="Verdana"/>
          <w:sz w:val="18"/>
        </w:rPr>
        <w:t xml:space="preserve"> </w:t>
      </w:r>
    </w:p>
    <w:p w:rsidR="00CD38B3" w:rsidRDefault="00CD38B3" w:rsidP="00CD38B3">
      <w:pPr>
        <w:rPr>
          <w:rFonts w:ascii="Verdana" w:hAnsi="Verdana" w:cs="Verdana"/>
          <w:sz w:val="18"/>
        </w:rPr>
      </w:pPr>
      <w:r>
        <w:rPr>
          <w:rFonts w:ascii="Verdana" w:hAnsi="Verdana" w:cs="Verdana"/>
          <w:sz w:val="18"/>
        </w:rPr>
        <w:t>Se muestra a continuación la justificación del cálculo hidráulico en la zona más desfavorable para el grupo de presión seleccionado</w:t>
      </w:r>
      <w:r w:rsidR="00F774C1">
        <w:rPr>
          <w:rFonts w:ascii="Verdana" w:hAnsi="Verdana" w:cs="Verdana"/>
          <w:sz w:val="18"/>
        </w:rPr>
        <w:t xml:space="preserve"> BIEs F, G, H, I, J, K son de ampliaciones anteriores)</w:t>
      </w:r>
      <w:r>
        <w:rPr>
          <w:rFonts w:ascii="Verdana" w:hAnsi="Verdana" w:cs="Verdana"/>
          <w:sz w:val="18"/>
        </w:rPr>
        <w:t>:</w:t>
      </w:r>
    </w:p>
    <w:p w:rsidR="00CD38B3" w:rsidRDefault="00CD38B3" w:rsidP="00CD38B3">
      <w:r>
        <w:rPr>
          <w:rFonts w:ascii="Verdana" w:hAnsi="Verdana" w:cs="Verdana"/>
          <w:sz w:val="18"/>
        </w:rPr>
        <w:t xml:space="preserve"> </w:t>
      </w:r>
    </w:p>
    <w:p w:rsidR="00CD38B3" w:rsidRDefault="00CD38B3" w:rsidP="00CD38B3">
      <w:r>
        <w:rPr>
          <w:rFonts w:ascii="Verdana" w:hAnsi="Verdana" w:cs="Verdana"/>
          <w:sz w:val="18"/>
        </w:rPr>
        <w:t xml:space="preserve"> </w:t>
      </w:r>
    </w:p>
    <w:tbl>
      <w:tblPr>
        <w:tblW w:w="5000" w:type="pct"/>
        <w:jc w:val="center"/>
        <w:tblCellMar>
          <w:top w:w="28" w:type="dxa"/>
          <w:left w:w="28" w:type="dxa"/>
          <w:bottom w:w="28" w:type="dxa"/>
          <w:right w:w="28" w:type="dxa"/>
        </w:tblCellMar>
        <w:tblLook w:val="0000"/>
      </w:tblPr>
      <w:tblGrid>
        <w:gridCol w:w="3060"/>
        <w:gridCol w:w="795"/>
        <w:gridCol w:w="748"/>
        <w:gridCol w:w="415"/>
        <w:gridCol w:w="473"/>
        <w:gridCol w:w="685"/>
        <w:gridCol w:w="646"/>
        <w:gridCol w:w="550"/>
        <w:gridCol w:w="748"/>
        <w:gridCol w:w="550"/>
        <w:gridCol w:w="741"/>
      </w:tblGrid>
      <w:tr w:rsidR="00CD38B3" w:rsidTr="00CD38B3">
        <w:trPr>
          <w:tblHeader/>
          <w:jc w:val="center"/>
        </w:trPr>
        <w:tc>
          <w:tcPr>
            <w:tcW w:w="0" w:type="auto"/>
            <w:tcBorders>
              <w:top w:val="single" w:sz="9" w:space="0" w:color="0E3EF0"/>
              <w:left w:val="single" w:sz="9" w:space="0" w:color="0E3EF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Tramo</w:t>
            </w:r>
          </w:p>
        </w:tc>
        <w:tc>
          <w:tcPr>
            <w:tcW w:w="0" w:type="auto"/>
            <w:tcBorders>
              <w:top w:val="single" w:sz="9" w:space="0" w:color="0E3EF0"/>
              <w:left w:val="single" w:sz="2" w:space="0" w:color="000000"/>
              <w:bottom w:val="single" w:sz="9" w:space="0" w:color="0E3EF0"/>
              <w:right w:val="single" w:sz="7"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L</w:t>
            </w:r>
          </w:p>
        </w:tc>
        <w:tc>
          <w:tcPr>
            <w:tcW w:w="0" w:type="auto"/>
            <w:tcBorders>
              <w:top w:val="single" w:sz="9" w:space="0" w:color="0E3EF0"/>
              <w:left w:val="single" w:sz="7" w:space="0" w:color="000000"/>
              <w:bottom w:val="single" w:sz="9" w:space="0" w:color="0E3EF0"/>
              <w:right w:val="single" w:sz="7"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Q</w:t>
            </w:r>
          </w:p>
        </w:tc>
        <w:tc>
          <w:tcPr>
            <w:tcW w:w="0" w:type="auto"/>
            <w:tcBorders>
              <w:top w:val="single" w:sz="9" w:space="0" w:color="0E3EF0"/>
              <w:left w:val="single" w:sz="7"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v</w:t>
            </w:r>
          </w:p>
        </w:tc>
        <w:tc>
          <w:tcPr>
            <w:tcW w:w="0" w:type="auto"/>
            <w:tcBorders>
              <w:top w:val="single" w:sz="9" w:space="0" w:color="0E3EF0"/>
              <w:left w:val="single" w:sz="2"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J</w:t>
            </w:r>
          </w:p>
        </w:tc>
        <w:tc>
          <w:tcPr>
            <w:tcW w:w="0" w:type="auto"/>
            <w:tcBorders>
              <w:top w:val="single" w:sz="9" w:space="0" w:color="0E3EF0"/>
              <w:left w:val="single" w:sz="2"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P</w:t>
            </w:r>
            <w:r>
              <w:rPr>
                <w:rFonts w:ascii="Verdana" w:hAnsi="Verdana" w:cs="Verdana"/>
                <w:sz w:val="18"/>
                <w:vertAlign w:val="subscript"/>
              </w:rPr>
              <w:t>i</w:t>
            </w:r>
          </w:p>
        </w:tc>
        <w:tc>
          <w:tcPr>
            <w:tcW w:w="0" w:type="auto"/>
            <w:tcBorders>
              <w:top w:val="single" w:sz="9" w:space="0" w:color="0E3EF0"/>
              <w:left w:val="single" w:sz="2"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Symbol" w:hAnsi="Symbol" w:cs="Symbol"/>
                <w:sz w:val="18"/>
              </w:rPr>
              <w:t></w:t>
            </w:r>
            <w:r>
              <w:rPr>
                <w:rFonts w:ascii="Verdana" w:hAnsi="Verdana" w:cs="Verdana"/>
                <w:sz w:val="18"/>
              </w:rPr>
              <w:t>h</w:t>
            </w:r>
          </w:p>
        </w:tc>
        <w:tc>
          <w:tcPr>
            <w:tcW w:w="0" w:type="auto"/>
            <w:tcBorders>
              <w:top w:val="single" w:sz="9" w:space="0" w:color="0E3EF0"/>
              <w:left w:val="single" w:sz="2" w:space="0" w:color="000000"/>
              <w:bottom w:val="single" w:sz="9" w:space="0" w:color="0E3EF0"/>
              <w:right w:val="single" w:sz="7"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Symbol" w:hAnsi="Symbol" w:cs="Symbol"/>
                <w:sz w:val="18"/>
              </w:rPr>
              <w:t></w:t>
            </w:r>
            <w:r>
              <w:rPr>
                <w:rFonts w:ascii="Verdana" w:hAnsi="Verdana" w:cs="Verdana"/>
                <w:sz w:val="18"/>
              </w:rPr>
              <w:t>P</w:t>
            </w:r>
          </w:p>
        </w:tc>
        <w:tc>
          <w:tcPr>
            <w:tcW w:w="0" w:type="auto"/>
            <w:tcBorders>
              <w:top w:val="single" w:sz="9" w:space="0" w:color="0E3EF0"/>
              <w:left w:val="single" w:sz="7" w:space="0" w:color="000000"/>
              <w:bottom w:val="single" w:sz="9" w:space="0" w:color="0E3EF0"/>
              <w:right w:val="single" w:sz="7"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P</w:t>
            </w:r>
            <w:r>
              <w:rPr>
                <w:rFonts w:ascii="Verdana" w:hAnsi="Verdana" w:cs="Verdana"/>
                <w:sz w:val="18"/>
                <w:vertAlign w:val="subscript"/>
              </w:rPr>
              <w:t>f</w:t>
            </w:r>
          </w:p>
        </w:tc>
        <w:tc>
          <w:tcPr>
            <w:tcW w:w="0" w:type="auto"/>
            <w:tcBorders>
              <w:top w:val="single" w:sz="9" w:space="0" w:color="0E3EF0"/>
              <w:left w:val="single" w:sz="7" w:space="0" w:color="000000"/>
              <w:bottom w:val="single" w:sz="9" w:space="0" w:color="0E3EF0"/>
              <w:right w:val="single" w:sz="2" w:space="0" w:color="00000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Ø</w:t>
            </w:r>
          </w:p>
        </w:tc>
        <w:tc>
          <w:tcPr>
            <w:tcW w:w="0" w:type="auto"/>
            <w:tcBorders>
              <w:top w:val="single" w:sz="9" w:space="0" w:color="0E3EF0"/>
              <w:left w:val="single" w:sz="2" w:space="0" w:color="000000"/>
              <w:bottom w:val="single" w:sz="9" w:space="0" w:color="0E3EF0"/>
              <w:right w:val="single" w:sz="9" w:space="0" w:color="0E3EF0"/>
            </w:tcBorders>
            <w:shd w:val="clear" w:color="auto" w:fill="A6CEF2"/>
            <w:noWrap/>
            <w:tcMar>
              <w:top w:w="57" w:type="dxa"/>
              <w:left w:w="28" w:type="dxa"/>
              <w:bottom w:w="57" w:type="dxa"/>
              <w:right w:w="28" w:type="dxa"/>
            </w:tcMar>
            <w:vAlign w:val="center"/>
          </w:tcPr>
          <w:p w:rsidR="00CD38B3" w:rsidRDefault="00CD38B3" w:rsidP="00CD38B3">
            <w:pPr>
              <w:jc w:val="center"/>
              <w:rPr>
                <w:rFonts w:ascii="Verdana" w:hAnsi="Verdana" w:cs="Verdana"/>
                <w:sz w:val="18"/>
              </w:rPr>
            </w:pPr>
            <w:r>
              <w:rPr>
                <w:rFonts w:ascii="Verdana" w:hAnsi="Verdana" w:cs="Verdana"/>
                <w:sz w:val="18"/>
              </w:rPr>
              <w:t>DN</w:t>
            </w:r>
          </w:p>
        </w:tc>
      </w:tr>
      <w:tr w:rsidR="00CD38B3" w:rsidTr="00CD38B3">
        <w:trPr>
          <w:cantSplit/>
          <w:jc w:val="center"/>
        </w:trPr>
        <w:tc>
          <w:tcPr>
            <w:tcW w:w="0" w:type="auto"/>
            <w:tcBorders>
              <w:top w:val="single" w:sz="9" w:space="0" w:color="0E3EF0"/>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b/>
                <w:sz w:val="18"/>
              </w:rPr>
              <w:t>A1 -&gt; A (Planta baja)</w:t>
            </w:r>
          </w:p>
        </w:tc>
        <w:tc>
          <w:tcPr>
            <w:tcW w:w="0" w:type="auto"/>
            <w:tcBorders>
              <w:top w:val="single" w:sz="9" w:space="0" w:color="0E3EF0"/>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3.52</w:t>
            </w:r>
          </w:p>
        </w:tc>
        <w:tc>
          <w:tcPr>
            <w:tcW w:w="0" w:type="auto"/>
            <w:tcBorders>
              <w:top w:val="single" w:sz="9" w:space="0" w:color="0E3EF0"/>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3.259</w:t>
            </w:r>
          </w:p>
        </w:tc>
        <w:tc>
          <w:tcPr>
            <w:tcW w:w="0" w:type="auto"/>
            <w:tcBorders>
              <w:top w:val="single" w:sz="9" w:space="0" w:color="0E3EF0"/>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58.14</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3.52</w:t>
            </w:r>
          </w:p>
        </w:tc>
        <w:tc>
          <w:tcPr>
            <w:tcW w:w="0" w:type="auto"/>
            <w:tcBorders>
              <w:top w:val="single" w:sz="9" w:space="0" w:color="0E3EF0"/>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0.07</w:t>
            </w:r>
          </w:p>
        </w:tc>
        <w:tc>
          <w:tcPr>
            <w:tcW w:w="0" w:type="auto"/>
            <w:tcBorders>
              <w:top w:val="single" w:sz="9" w:space="0" w:color="0E3EF0"/>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54.55</w:t>
            </w:r>
          </w:p>
        </w:tc>
        <w:tc>
          <w:tcPr>
            <w:tcW w:w="0" w:type="auto"/>
            <w:tcBorders>
              <w:top w:val="single" w:sz="9" w:space="0" w:color="0E3EF0"/>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top w:val="single" w:sz="9" w:space="0" w:color="0E3EF0"/>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A -&gt; B</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8.38</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3.259</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54.55</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0.08</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0.17</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54.30</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B -&gt; C</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15.77</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3.259</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54.30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0.32</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53.97</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C -&gt; D</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18.18</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3.259</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53.97</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0.37</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53.60</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D -&gt; E</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12.98</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3.259</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53.60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-0.08</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0.27</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53.41</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E -&gt; F</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1.43</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3.259</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53.41</w:t>
            </w:r>
          </w:p>
        </w:tc>
        <w:tc>
          <w:tcPr>
            <w:tcW w:w="0" w:type="auto"/>
            <w:tcBorders>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0.03</w:t>
            </w:r>
          </w:p>
        </w:tc>
        <w:tc>
          <w:tcPr>
            <w:tcW w:w="0" w:type="auto"/>
            <w:tcBorders>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53.38</w:t>
            </w:r>
          </w:p>
        </w:tc>
        <w:tc>
          <w:tcPr>
            <w:tcW w:w="0" w:type="auto"/>
            <w:tcBorders>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left w:val="single" w:sz="9" w:space="0" w:color="0E3EF0"/>
              <w:bottom w:val="single" w:sz="5" w:space="0" w:color="B4B4B4"/>
              <w:right w:val="single" w:sz="2" w:space="0" w:color="000000"/>
            </w:tcBorders>
          </w:tcPr>
          <w:p w:rsidR="00CD38B3" w:rsidRDefault="00CD38B3" w:rsidP="00CD38B3">
            <w:pPr>
              <w:rPr>
                <w:rFonts w:ascii="Verdana" w:hAnsi="Verdana" w:cs="Verdana"/>
                <w:sz w:val="18"/>
              </w:rPr>
            </w:pPr>
            <w:r>
              <w:rPr>
                <w:rFonts w:ascii="Verdana" w:hAnsi="Verdana" w:cs="Verdana"/>
                <w:sz w:val="18"/>
              </w:rPr>
              <w:t>F -&gt; G</w:t>
            </w:r>
          </w:p>
        </w:tc>
        <w:tc>
          <w:tcPr>
            <w:tcW w:w="0" w:type="auto"/>
            <w:tcBorders>
              <w:left w:val="single" w:sz="2" w:space="0" w:color="000000"/>
              <w:bottom w:val="single" w:sz="5" w:space="0" w:color="B4B4B4"/>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1.69</w:t>
            </w:r>
          </w:p>
        </w:tc>
        <w:tc>
          <w:tcPr>
            <w:tcW w:w="0" w:type="auto"/>
            <w:tcBorders>
              <w:left w:val="single" w:sz="7" w:space="0" w:color="000000"/>
              <w:bottom w:val="single" w:sz="5" w:space="0" w:color="B4B4B4"/>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3.259</w:t>
            </w:r>
          </w:p>
        </w:tc>
        <w:tc>
          <w:tcPr>
            <w:tcW w:w="0" w:type="auto"/>
            <w:tcBorders>
              <w:left w:val="single" w:sz="7"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0.8</w:t>
            </w:r>
          </w:p>
        </w:tc>
        <w:tc>
          <w:tcPr>
            <w:tcW w:w="0" w:type="auto"/>
            <w:tcBorders>
              <w:left w:val="single" w:sz="2"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left w:val="single" w:sz="2"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53.38</w:t>
            </w:r>
          </w:p>
        </w:tc>
        <w:tc>
          <w:tcPr>
            <w:tcW w:w="0" w:type="auto"/>
            <w:tcBorders>
              <w:left w:val="single" w:sz="2"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left w:val="single" w:sz="2" w:space="0" w:color="000000"/>
              <w:bottom w:val="single" w:sz="5" w:space="0" w:color="B4B4B4"/>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0.03</w:t>
            </w:r>
          </w:p>
        </w:tc>
        <w:tc>
          <w:tcPr>
            <w:tcW w:w="0" w:type="auto"/>
            <w:tcBorders>
              <w:left w:val="single" w:sz="7" w:space="0" w:color="000000"/>
              <w:bottom w:val="single" w:sz="5" w:space="0" w:color="B4B4B4"/>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53.35</w:t>
            </w:r>
          </w:p>
        </w:tc>
        <w:tc>
          <w:tcPr>
            <w:tcW w:w="0" w:type="auto"/>
            <w:tcBorders>
              <w:left w:val="single" w:sz="7" w:space="0" w:color="000000"/>
              <w:bottom w:val="single" w:sz="5" w:space="0" w:color="B4B4B4"/>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68.9</w:t>
            </w:r>
          </w:p>
        </w:tc>
        <w:tc>
          <w:tcPr>
            <w:tcW w:w="0" w:type="auto"/>
            <w:tcBorders>
              <w:left w:val="single" w:sz="2" w:space="0" w:color="000000"/>
              <w:bottom w:val="single" w:sz="5" w:space="0" w:color="B4B4B4"/>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 1/2"</w:t>
            </w:r>
          </w:p>
        </w:tc>
      </w:tr>
      <w:tr w:rsidR="00CD38B3" w:rsidTr="00CD38B3">
        <w:trPr>
          <w:cantSplit/>
          <w:jc w:val="center"/>
        </w:trPr>
        <w:tc>
          <w:tcPr>
            <w:tcW w:w="0" w:type="auto"/>
            <w:tcBorders>
              <w:top w:val="single" w:sz="5" w:space="0" w:color="B4B4B4"/>
              <w:left w:val="single" w:sz="9" w:space="0" w:color="0E3EF0"/>
              <w:bottom w:val="single" w:sz="5"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G -&gt; A3</w:t>
            </w:r>
          </w:p>
        </w:tc>
        <w:tc>
          <w:tcPr>
            <w:tcW w:w="0" w:type="auto"/>
            <w:tcBorders>
              <w:top w:val="single" w:sz="5" w:space="0" w:color="B4B4B4"/>
              <w:left w:val="single" w:sz="2"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2.22</w:t>
            </w:r>
          </w:p>
        </w:tc>
        <w:tc>
          <w:tcPr>
            <w:tcW w:w="0" w:type="auto"/>
            <w:tcBorders>
              <w:top w:val="single" w:sz="5" w:space="0" w:color="B4B4B4"/>
              <w:left w:val="single" w:sz="7"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1.630</w:t>
            </w:r>
          </w:p>
        </w:tc>
        <w:tc>
          <w:tcPr>
            <w:tcW w:w="0" w:type="auto"/>
            <w:tcBorders>
              <w:top w:val="single" w:sz="5" w:space="0" w:color="B4B4B4"/>
              <w:left w:val="single" w:sz="7"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w:t>
            </w:r>
          </w:p>
        </w:tc>
        <w:tc>
          <w:tcPr>
            <w:tcW w:w="0" w:type="auto"/>
            <w:tcBorders>
              <w:top w:val="single" w:sz="5" w:space="0" w:color="B4B4B4"/>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134</w:t>
            </w:r>
          </w:p>
        </w:tc>
        <w:tc>
          <w:tcPr>
            <w:tcW w:w="0" w:type="auto"/>
            <w:tcBorders>
              <w:top w:val="single" w:sz="5" w:space="0" w:color="B4B4B4"/>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53.35</w:t>
            </w:r>
          </w:p>
        </w:tc>
        <w:tc>
          <w:tcPr>
            <w:tcW w:w="0" w:type="auto"/>
            <w:tcBorders>
              <w:top w:val="single" w:sz="5" w:space="0" w:color="B4B4B4"/>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-2.22</w:t>
            </w:r>
          </w:p>
        </w:tc>
        <w:tc>
          <w:tcPr>
            <w:tcW w:w="0" w:type="auto"/>
            <w:tcBorders>
              <w:top w:val="single" w:sz="5" w:space="0" w:color="B4B4B4"/>
              <w:left w:val="single" w:sz="2"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0.30</w:t>
            </w:r>
          </w:p>
        </w:tc>
        <w:tc>
          <w:tcPr>
            <w:tcW w:w="0" w:type="auto"/>
            <w:tcBorders>
              <w:top w:val="single" w:sz="5" w:space="0" w:color="B4B4B4"/>
              <w:left w:val="single" w:sz="7"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55.27</w:t>
            </w:r>
          </w:p>
        </w:tc>
        <w:tc>
          <w:tcPr>
            <w:tcW w:w="0" w:type="auto"/>
            <w:tcBorders>
              <w:top w:val="single" w:sz="5" w:space="0" w:color="B4B4B4"/>
              <w:left w:val="single" w:sz="7"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36.0</w:t>
            </w:r>
          </w:p>
        </w:tc>
        <w:tc>
          <w:tcPr>
            <w:tcW w:w="0" w:type="auto"/>
            <w:tcBorders>
              <w:top w:val="single" w:sz="5" w:space="0" w:color="B4B4B4"/>
              <w:left w:val="single" w:sz="2" w:space="0" w:color="000000"/>
              <w:bottom w:val="single" w:sz="5" w:space="0" w:color="0E3EF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1 1/4"</w:t>
            </w:r>
          </w:p>
        </w:tc>
      </w:tr>
      <w:tr w:rsidR="00CD38B3" w:rsidTr="00CD38B3">
        <w:trPr>
          <w:cantSplit/>
          <w:jc w:val="center"/>
        </w:trPr>
        <w:tc>
          <w:tcPr>
            <w:tcW w:w="0" w:type="auto"/>
            <w:gridSpan w:val="2"/>
            <w:tcBorders>
              <w:top w:val="single" w:sz="5" w:space="0" w:color="0E3EF0"/>
              <w:left w:val="single" w:sz="9" w:space="0" w:color="0E3EF0"/>
              <w:bottom w:val="single" w:sz="9" w:space="0" w:color="0E3EF0"/>
              <w:right w:val="single" w:sz="7" w:space="0" w:color="000000"/>
            </w:tcBorders>
          </w:tcPr>
          <w:p w:rsidR="00CD38B3" w:rsidRDefault="00CD38B3" w:rsidP="00CD38B3">
            <w:pPr>
              <w:rPr>
                <w:rFonts w:ascii="Verdana" w:hAnsi="Verdana" w:cs="Verdana"/>
                <w:sz w:val="18"/>
              </w:rPr>
            </w:pPr>
            <w:r>
              <w:rPr>
                <w:rFonts w:ascii="Verdana" w:hAnsi="Verdana" w:cs="Verdana"/>
                <w:b/>
                <w:sz w:val="18"/>
              </w:rPr>
              <w:t>A3, BIE 25 mm</w:t>
            </w:r>
            <w:r>
              <w:rPr>
                <w:rFonts w:ascii="Verdana" w:hAnsi="Verdana" w:cs="Verdana"/>
                <w:sz w:val="18"/>
              </w:rPr>
              <w:t xml:space="preserve"> </w:t>
            </w:r>
            <w:r>
              <w:rPr>
                <w:rFonts w:ascii="Verdana" w:hAnsi="Verdana" w:cs="Verdana"/>
                <w:sz w:val="14"/>
              </w:rPr>
              <w:t>(K = 42), (Planta baja)</w:t>
            </w:r>
          </w:p>
        </w:tc>
        <w:tc>
          <w:tcPr>
            <w:tcW w:w="0" w:type="auto"/>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jc w:val="center"/>
              <w:rPr>
                <w:rFonts w:ascii="Verdana" w:hAnsi="Verdana" w:cs="Verdana"/>
                <w:b/>
                <w:sz w:val="18"/>
              </w:rPr>
            </w:pPr>
            <w:r>
              <w:rPr>
                <w:rFonts w:ascii="Verdana" w:hAnsi="Verdana" w:cs="Verdana"/>
                <w:b/>
                <w:sz w:val="18"/>
              </w:rPr>
              <w:t>1.630</w:t>
            </w:r>
          </w:p>
        </w:tc>
        <w:tc>
          <w:tcPr>
            <w:tcW w:w="0" w:type="auto"/>
            <w:gridSpan w:val="5"/>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rPr>
                <w:rFonts w:ascii="Verdana" w:hAnsi="Verdana" w:cs="Verdana"/>
                <w:sz w:val="18"/>
              </w:rPr>
            </w:pPr>
            <w:r>
              <w:rPr>
                <w:rFonts w:ascii="Verdana" w:hAnsi="Verdana" w:cs="Verdana"/>
                <w:sz w:val="18"/>
              </w:rPr>
              <w:t xml:space="preserve"> </w:t>
            </w:r>
          </w:p>
        </w:tc>
        <w:tc>
          <w:tcPr>
            <w:tcW w:w="0" w:type="auto"/>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jc w:val="center"/>
              <w:rPr>
                <w:rFonts w:ascii="Verdana" w:hAnsi="Verdana" w:cs="Verdana"/>
                <w:b/>
                <w:sz w:val="18"/>
              </w:rPr>
            </w:pPr>
            <w:r>
              <w:rPr>
                <w:rFonts w:ascii="Verdana" w:hAnsi="Verdana" w:cs="Verdana"/>
                <w:b/>
                <w:sz w:val="18"/>
              </w:rPr>
              <w:t>55.27</w:t>
            </w:r>
          </w:p>
        </w:tc>
        <w:tc>
          <w:tcPr>
            <w:tcW w:w="0" w:type="auto"/>
            <w:gridSpan w:val="2"/>
            <w:tcBorders>
              <w:top w:val="single" w:sz="5" w:space="0" w:color="0E3EF0"/>
              <w:left w:val="single" w:sz="7" w:space="0" w:color="000000"/>
              <w:bottom w:val="single" w:sz="9" w:space="0" w:color="0E3EF0"/>
              <w:right w:val="single" w:sz="9" w:space="0" w:color="0E3EF0"/>
            </w:tcBorders>
            <w:noWrap/>
            <w:vAlign w:val="center"/>
          </w:tcPr>
          <w:p w:rsidR="00CD38B3" w:rsidRDefault="00CD38B3" w:rsidP="00CD38B3">
            <w:pPr>
              <w:rPr>
                <w:rFonts w:ascii="Verdana" w:hAnsi="Verdana" w:cs="Verdana"/>
                <w:sz w:val="18"/>
              </w:rPr>
            </w:pPr>
            <w:r>
              <w:rPr>
                <w:rFonts w:ascii="Verdana" w:hAnsi="Verdana" w:cs="Verdana"/>
                <w:sz w:val="18"/>
              </w:rPr>
              <w:t xml:space="preserve"> </w:t>
            </w:r>
          </w:p>
        </w:tc>
      </w:tr>
      <w:tr w:rsidR="00CD38B3" w:rsidTr="00CD38B3">
        <w:trPr>
          <w:cantSplit/>
          <w:jc w:val="center"/>
        </w:trPr>
        <w:tc>
          <w:tcPr>
            <w:tcW w:w="0" w:type="auto"/>
            <w:tcBorders>
              <w:top w:val="single" w:sz="9" w:space="0" w:color="0E3EF0"/>
              <w:left w:val="single" w:sz="9"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G -&gt; I</w:t>
            </w:r>
          </w:p>
        </w:tc>
        <w:tc>
          <w:tcPr>
            <w:tcW w:w="0" w:type="auto"/>
            <w:tcBorders>
              <w:top w:val="single" w:sz="9" w:space="0" w:color="0E3EF0"/>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1.95</w:t>
            </w:r>
          </w:p>
        </w:tc>
        <w:tc>
          <w:tcPr>
            <w:tcW w:w="0" w:type="auto"/>
            <w:tcBorders>
              <w:top w:val="single" w:sz="9" w:space="0" w:color="0E3EF0"/>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1.629</w:t>
            </w:r>
          </w:p>
        </w:tc>
        <w:tc>
          <w:tcPr>
            <w:tcW w:w="0" w:type="auto"/>
            <w:tcBorders>
              <w:top w:val="single" w:sz="9" w:space="0" w:color="0E3EF0"/>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0.7</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20</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53.35</w:t>
            </w:r>
          </w:p>
        </w:tc>
        <w:tc>
          <w:tcPr>
            <w:tcW w:w="0" w:type="auto"/>
            <w:tcBorders>
              <w:top w:val="single" w:sz="9" w:space="0" w:color="0E3EF0"/>
              <w:left w:val="single" w:sz="2"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w:t>
            </w:r>
          </w:p>
        </w:tc>
        <w:tc>
          <w:tcPr>
            <w:tcW w:w="0" w:type="auto"/>
            <w:tcBorders>
              <w:top w:val="single" w:sz="9" w:space="0" w:color="0E3EF0"/>
              <w:left w:val="single" w:sz="2"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0.04</w:t>
            </w:r>
          </w:p>
        </w:tc>
        <w:tc>
          <w:tcPr>
            <w:tcW w:w="0" w:type="auto"/>
            <w:tcBorders>
              <w:top w:val="single" w:sz="9" w:space="0" w:color="0E3EF0"/>
              <w:left w:val="single" w:sz="7" w:space="0" w:color="00000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53.31</w:t>
            </w:r>
          </w:p>
        </w:tc>
        <w:tc>
          <w:tcPr>
            <w:tcW w:w="0" w:type="auto"/>
            <w:tcBorders>
              <w:top w:val="single" w:sz="9" w:space="0" w:color="0E3EF0"/>
              <w:left w:val="single" w:sz="7" w:space="0" w:color="00000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53.1</w:t>
            </w:r>
          </w:p>
        </w:tc>
        <w:tc>
          <w:tcPr>
            <w:tcW w:w="0" w:type="auto"/>
            <w:tcBorders>
              <w:top w:val="single" w:sz="9" w:space="0" w:color="0E3EF0"/>
              <w:left w:val="single" w:sz="2" w:space="0" w:color="00000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2"</w:t>
            </w:r>
          </w:p>
        </w:tc>
      </w:tr>
      <w:tr w:rsidR="00CD38B3" w:rsidTr="00CD38B3">
        <w:trPr>
          <w:cantSplit/>
          <w:jc w:val="center"/>
        </w:trPr>
        <w:tc>
          <w:tcPr>
            <w:tcW w:w="0" w:type="auto"/>
            <w:tcBorders>
              <w:left w:val="single" w:sz="9" w:space="0" w:color="0E3EF0"/>
              <w:bottom w:val="single" w:sz="5" w:space="0" w:color="0E3EF0"/>
              <w:right w:val="single" w:sz="2" w:space="0" w:color="000000"/>
            </w:tcBorders>
          </w:tcPr>
          <w:p w:rsidR="00CD38B3" w:rsidRDefault="00CD38B3" w:rsidP="00CD38B3">
            <w:pPr>
              <w:rPr>
                <w:rFonts w:ascii="Verdana" w:hAnsi="Verdana" w:cs="Verdana"/>
                <w:sz w:val="18"/>
              </w:rPr>
            </w:pPr>
            <w:r>
              <w:rPr>
                <w:rFonts w:ascii="Verdana" w:hAnsi="Verdana" w:cs="Verdana"/>
                <w:sz w:val="18"/>
              </w:rPr>
              <w:t>I -&gt; A5</w:t>
            </w:r>
          </w:p>
        </w:tc>
        <w:tc>
          <w:tcPr>
            <w:tcW w:w="0" w:type="auto"/>
            <w:tcBorders>
              <w:left w:val="single" w:sz="2"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2.22</w:t>
            </w:r>
          </w:p>
        </w:tc>
        <w:tc>
          <w:tcPr>
            <w:tcW w:w="0" w:type="auto"/>
            <w:tcBorders>
              <w:left w:val="single" w:sz="7"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1.629</w:t>
            </w:r>
          </w:p>
        </w:tc>
        <w:tc>
          <w:tcPr>
            <w:tcW w:w="0" w:type="auto"/>
            <w:tcBorders>
              <w:left w:val="single" w:sz="7"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1.6</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134</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53.31</w:t>
            </w:r>
          </w:p>
        </w:tc>
        <w:tc>
          <w:tcPr>
            <w:tcW w:w="0" w:type="auto"/>
            <w:tcBorders>
              <w:left w:val="single" w:sz="2"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-2.22</w:t>
            </w:r>
          </w:p>
        </w:tc>
        <w:tc>
          <w:tcPr>
            <w:tcW w:w="0" w:type="auto"/>
            <w:tcBorders>
              <w:left w:val="single" w:sz="2"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0.30</w:t>
            </w:r>
          </w:p>
        </w:tc>
        <w:tc>
          <w:tcPr>
            <w:tcW w:w="0" w:type="auto"/>
            <w:tcBorders>
              <w:left w:val="single" w:sz="7" w:space="0" w:color="000000"/>
              <w:bottom w:val="single" w:sz="5" w:space="0" w:color="0E3EF0"/>
              <w:right w:val="single" w:sz="7"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55.23</w:t>
            </w:r>
          </w:p>
        </w:tc>
        <w:tc>
          <w:tcPr>
            <w:tcW w:w="0" w:type="auto"/>
            <w:tcBorders>
              <w:left w:val="single" w:sz="7" w:space="0" w:color="000000"/>
              <w:bottom w:val="single" w:sz="5" w:space="0" w:color="0E3EF0"/>
              <w:right w:val="single" w:sz="2" w:space="0" w:color="000000"/>
            </w:tcBorders>
            <w:noWrap/>
            <w:vAlign w:val="center"/>
          </w:tcPr>
          <w:p w:rsidR="00CD38B3" w:rsidRDefault="00CD38B3" w:rsidP="00CD38B3">
            <w:pPr>
              <w:jc w:val="center"/>
              <w:rPr>
                <w:rFonts w:ascii="Verdana" w:hAnsi="Verdana" w:cs="Verdana"/>
                <w:sz w:val="18"/>
              </w:rPr>
            </w:pPr>
            <w:r>
              <w:rPr>
                <w:rFonts w:ascii="Verdana" w:hAnsi="Verdana" w:cs="Verdana"/>
                <w:sz w:val="18"/>
              </w:rPr>
              <w:t>36.0</w:t>
            </w:r>
          </w:p>
        </w:tc>
        <w:tc>
          <w:tcPr>
            <w:tcW w:w="0" w:type="auto"/>
            <w:tcBorders>
              <w:left w:val="single" w:sz="2" w:space="0" w:color="000000"/>
              <w:bottom w:val="single" w:sz="5" w:space="0" w:color="0E3EF0"/>
              <w:right w:val="single" w:sz="9" w:space="0" w:color="0E3EF0"/>
            </w:tcBorders>
            <w:noWrap/>
            <w:vAlign w:val="center"/>
          </w:tcPr>
          <w:p w:rsidR="00CD38B3" w:rsidRDefault="00CD38B3" w:rsidP="00CD38B3">
            <w:pPr>
              <w:jc w:val="center"/>
              <w:rPr>
                <w:rFonts w:ascii="Verdana" w:hAnsi="Verdana" w:cs="Verdana"/>
                <w:sz w:val="18"/>
              </w:rPr>
            </w:pPr>
            <w:r>
              <w:rPr>
                <w:rFonts w:ascii="Verdana" w:hAnsi="Verdana" w:cs="Verdana"/>
                <w:sz w:val="18"/>
              </w:rPr>
              <w:t>1 1/4"</w:t>
            </w:r>
          </w:p>
        </w:tc>
      </w:tr>
      <w:tr w:rsidR="00CD38B3" w:rsidTr="00CD38B3">
        <w:trPr>
          <w:cantSplit/>
          <w:jc w:val="center"/>
        </w:trPr>
        <w:tc>
          <w:tcPr>
            <w:tcW w:w="0" w:type="auto"/>
            <w:gridSpan w:val="2"/>
            <w:tcBorders>
              <w:top w:val="single" w:sz="5" w:space="0" w:color="0E3EF0"/>
              <w:left w:val="single" w:sz="9" w:space="0" w:color="0E3EF0"/>
              <w:bottom w:val="single" w:sz="9" w:space="0" w:color="0E3EF0"/>
              <w:right w:val="single" w:sz="7" w:space="0" w:color="000000"/>
            </w:tcBorders>
          </w:tcPr>
          <w:p w:rsidR="00CD38B3" w:rsidRDefault="00CD38B3" w:rsidP="00CD38B3">
            <w:pPr>
              <w:rPr>
                <w:rFonts w:ascii="Verdana" w:hAnsi="Verdana" w:cs="Verdana"/>
                <w:sz w:val="18"/>
              </w:rPr>
            </w:pPr>
            <w:r>
              <w:rPr>
                <w:rFonts w:ascii="Verdana" w:hAnsi="Verdana" w:cs="Verdana"/>
                <w:b/>
                <w:sz w:val="18"/>
              </w:rPr>
              <w:t>A5, BIE 25 mm</w:t>
            </w:r>
            <w:r>
              <w:rPr>
                <w:rFonts w:ascii="Verdana" w:hAnsi="Verdana" w:cs="Verdana"/>
                <w:sz w:val="18"/>
              </w:rPr>
              <w:t xml:space="preserve"> </w:t>
            </w:r>
            <w:r>
              <w:rPr>
                <w:rFonts w:ascii="Verdana" w:hAnsi="Verdana" w:cs="Verdana"/>
                <w:sz w:val="14"/>
              </w:rPr>
              <w:t>(K = 42), (Planta baja)</w:t>
            </w:r>
          </w:p>
        </w:tc>
        <w:tc>
          <w:tcPr>
            <w:tcW w:w="0" w:type="auto"/>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jc w:val="center"/>
              <w:rPr>
                <w:rFonts w:ascii="Verdana" w:hAnsi="Verdana" w:cs="Verdana"/>
                <w:b/>
                <w:sz w:val="18"/>
              </w:rPr>
            </w:pPr>
            <w:r>
              <w:rPr>
                <w:rFonts w:ascii="Verdana" w:hAnsi="Verdana" w:cs="Verdana"/>
                <w:b/>
                <w:sz w:val="18"/>
              </w:rPr>
              <w:t>1.629</w:t>
            </w:r>
          </w:p>
        </w:tc>
        <w:tc>
          <w:tcPr>
            <w:tcW w:w="0" w:type="auto"/>
            <w:gridSpan w:val="5"/>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rPr>
                <w:rFonts w:ascii="Verdana" w:hAnsi="Verdana" w:cs="Verdana"/>
                <w:sz w:val="18"/>
              </w:rPr>
            </w:pPr>
            <w:r>
              <w:rPr>
                <w:rFonts w:ascii="Verdana" w:hAnsi="Verdana" w:cs="Verdana"/>
                <w:sz w:val="18"/>
              </w:rPr>
              <w:t xml:space="preserve"> </w:t>
            </w:r>
          </w:p>
        </w:tc>
        <w:tc>
          <w:tcPr>
            <w:tcW w:w="0" w:type="auto"/>
            <w:tcBorders>
              <w:top w:val="single" w:sz="5" w:space="0" w:color="0E3EF0"/>
              <w:left w:val="single" w:sz="7" w:space="0" w:color="000000"/>
              <w:bottom w:val="single" w:sz="9" w:space="0" w:color="0E3EF0"/>
              <w:right w:val="single" w:sz="7" w:space="0" w:color="000000"/>
            </w:tcBorders>
            <w:noWrap/>
            <w:vAlign w:val="center"/>
          </w:tcPr>
          <w:p w:rsidR="00CD38B3" w:rsidRDefault="00CD38B3" w:rsidP="00CD38B3">
            <w:pPr>
              <w:jc w:val="center"/>
              <w:rPr>
                <w:rFonts w:ascii="Verdana" w:hAnsi="Verdana" w:cs="Verdana"/>
                <w:b/>
                <w:sz w:val="18"/>
              </w:rPr>
            </w:pPr>
            <w:r>
              <w:rPr>
                <w:rFonts w:ascii="Verdana" w:hAnsi="Verdana" w:cs="Verdana"/>
                <w:b/>
                <w:sz w:val="18"/>
              </w:rPr>
              <w:t>55.23</w:t>
            </w:r>
          </w:p>
        </w:tc>
        <w:tc>
          <w:tcPr>
            <w:tcW w:w="0" w:type="auto"/>
            <w:gridSpan w:val="2"/>
            <w:tcBorders>
              <w:top w:val="single" w:sz="5" w:space="0" w:color="0E3EF0"/>
              <w:left w:val="single" w:sz="7" w:space="0" w:color="000000"/>
              <w:bottom w:val="single" w:sz="9" w:space="0" w:color="0E3EF0"/>
              <w:right w:val="single" w:sz="9" w:space="0" w:color="0E3EF0"/>
            </w:tcBorders>
            <w:noWrap/>
            <w:vAlign w:val="center"/>
          </w:tcPr>
          <w:p w:rsidR="00CD38B3" w:rsidRDefault="00CD38B3" w:rsidP="00CD38B3">
            <w:pPr>
              <w:rPr>
                <w:rFonts w:ascii="Verdana" w:hAnsi="Verdana" w:cs="Verdana"/>
                <w:sz w:val="18"/>
              </w:rPr>
            </w:pPr>
            <w:r>
              <w:rPr>
                <w:rFonts w:ascii="Verdana" w:hAnsi="Verdana" w:cs="Verdana"/>
                <w:sz w:val="18"/>
              </w:rPr>
              <w:t xml:space="preserve"> </w:t>
            </w:r>
          </w:p>
        </w:tc>
      </w:tr>
      <w:tr w:rsidR="00CD38B3" w:rsidTr="00CD38B3">
        <w:trPr>
          <w:cantSplit/>
          <w:jc w:val="center"/>
        </w:trPr>
        <w:tc>
          <w:tcPr>
            <w:tcW w:w="0" w:type="auto"/>
            <w:gridSpan w:val="11"/>
            <w:tcBorders>
              <w:top w:val="single" w:sz="9" w:space="0" w:color="0E3EF0"/>
            </w:tcBorders>
            <w:tcMar>
              <w:top w:w="17" w:type="dxa"/>
              <w:left w:w="85" w:type="dxa"/>
              <w:bottom w:w="23" w:type="dxa"/>
              <w:right w:w="85" w:type="dxa"/>
            </w:tcMar>
            <w:vAlign w:val="center"/>
          </w:tcPr>
          <w:p w:rsidR="00CD38B3" w:rsidRDefault="00CD38B3" w:rsidP="00CD38B3">
            <w:pPr>
              <w:rPr>
                <w:rFonts w:ascii="Verdana" w:hAnsi="Verdana" w:cs="Verdana"/>
                <w:i/>
                <w:sz w:val="14"/>
              </w:rPr>
            </w:pPr>
            <w:r>
              <w:rPr>
                <w:rFonts w:ascii="Verdana" w:hAnsi="Verdana" w:cs="Verdana"/>
                <w:i/>
                <w:sz w:val="14"/>
              </w:rPr>
              <w:t>Notas:</w:t>
            </w:r>
          </w:p>
          <w:p w:rsidR="00CD38B3" w:rsidRDefault="00CD38B3" w:rsidP="00CD38B3">
            <w:pPr>
              <w:ind w:left="283"/>
              <w:rPr>
                <w:rFonts w:ascii="Verdana" w:hAnsi="Verdana" w:cs="Verdana"/>
                <w:i/>
                <w:sz w:val="14"/>
              </w:rPr>
            </w:pPr>
            <w:r>
              <w:rPr>
                <w:rFonts w:ascii="Verdana" w:hAnsi="Verdana" w:cs="Verdana"/>
                <w:i/>
                <w:sz w:val="14"/>
              </w:rPr>
              <w:t>L: Longitud real del tramo</w:t>
            </w:r>
          </w:p>
          <w:p w:rsidR="00CD38B3" w:rsidRDefault="00CD38B3" w:rsidP="00CD38B3">
            <w:pPr>
              <w:ind w:left="283"/>
              <w:rPr>
                <w:rFonts w:ascii="Verdana" w:hAnsi="Verdana" w:cs="Verdana"/>
                <w:i/>
                <w:sz w:val="14"/>
              </w:rPr>
            </w:pPr>
            <w:r>
              <w:rPr>
                <w:rFonts w:ascii="Verdana" w:hAnsi="Verdana" w:cs="Verdana"/>
                <w:i/>
                <w:sz w:val="14"/>
              </w:rPr>
              <w:t>Q: Caudal</w:t>
            </w:r>
          </w:p>
          <w:p w:rsidR="00CD38B3" w:rsidRDefault="00CD38B3" w:rsidP="00CD38B3">
            <w:pPr>
              <w:ind w:left="283"/>
              <w:rPr>
                <w:rFonts w:ascii="Verdana" w:hAnsi="Verdana" w:cs="Verdana"/>
                <w:i/>
                <w:sz w:val="14"/>
              </w:rPr>
            </w:pPr>
            <w:r>
              <w:rPr>
                <w:rFonts w:ascii="Verdana" w:hAnsi="Verdana" w:cs="Verdana"/>
                <w:i/>
                <w:sz w:val="14"/>
              </w:rPr>
              <w:t>v: Velocidad</w:t>
            </w:r>
          </w:p>
          <w:p w:rsidR="00CD38B3" w:rsidRDefault="00CD38B3" w:rsidP="00CD38B3">
            <w:pPr>
              <w:ind w:left="283"/>
              <w:rPr>
                <w:rFonts w:ascii="Verdana" w:hAnsi="Verdana" w:cs="Verdana"/>
                <w:i/>
                <w:sz w:val="14"/>
              </w:rPr>
            </w:pPr>
            <w:r>
              <w:rPr>
                <w:rFonts w:ascii="Verdana" w:hAnsi="Verdana" w:cs="Verdana"/>
                <w:i/>
                <w:sz w:val="14"/>
              </w:rPr>
              <w:t>J: Pérdida de carga en el tramo</w:t>
            </w:r>
          </w:p>
          <w:p w:rsidR="00CD38B3" w:rsidRDefault="00CD38B3" w:rsidP="00CD38B3">
            <w:pPr>
              <w:ind w:left="283"/>
              <w:rPr>
                <w:rFonts w:ascii="Verdana" w:hAnsi="Verdana" w:cs="Verdana"/>
                <w:i/>
                <w:sz w:val="14"/>
              </w:rPr>
            </w:pPr>
            <w:r>
              <w:rPr>
                <w:rFonts w:ascii="Verdana" w:hAnsi="Verdana" w:cs="Verdana"/>
                <w:i/>
                <w:sz w:val="14"/>
              </w:rPr>
              <w:t>P</w:t>
            </w:r>
            <w:r>
              <w:rPr>
                <w:rFonts w:ascii="Verdana" w:hAnsi="Verdana" w:cs="Verdana"/>
                <w:i/>
                <w:sz w:val="14"/>
                <w:vertAlign w:val="subscript"/>
              </w:rPr>
              <w:t>i</w:t>
            </w:r>
            <w:r>
              <w:rPr>
                <w:rFonts w:ascii="Verdana" w:hAnsi="Verdana" w:cs="Verdana"/>
                <w:i/>
                <w:sz w:val="14"/>
              </w:rPr>
              <w:t>: Presión de entrada al tramo</w:t>
            </w:r>
          </w:p>
          <w:p w:rsidR="00CD38B3" w:rsidRDefault="00CD38B3" w:rsidP="00CD38B3">
            <w:pPr>
              <w:ind w:left="283"/>
              <w:rPr>
                <w:rFonts w:ascii="Verdana" w:hAnsi="Verdana" w:cs="Verdana"/>
                <w:i/>
                <w:sz w:val="14"/>
              </w:rPr>
            </w:pPr>
            <w:r>
              <w:rPr>
                <w:rFonts w:ascii="Symbol" w:hAnsi="Symbol" w:cs="Symbol"/>
                <w:i/>
                <w:sz w:val="14"/>
              </w:rPr>
              <w:t></w:t>
            </w:r>
            <w:r>
              <w:rPr>
                <w:rFonts w:ascii="Verdana" w:hAnsi="Verdana" w:cs="Verdana"/>
                <w:i/>
                <w:sz w:val="14"/>
              </w:rPr>
              <w:t>h: Altura salvada por el tramo</w:t>
            </w:r>
          </w:p>
          <w:p w:rsidR="00CD38B3" w:rsidRDefault="00CD38B3" w:rsidP="00CD38B3">
            <w:pPr>
              <w:ind w:left="283"/>
              <w:rPr>
                <w:rFonts w:ascii="Verdana" w:hAnsi="Verdana" w:cs="Verdana"/>
                <w:i/>
                <w:sz w:val="14"/>
              </w:rPr>
            </w:pPr>
            <w:r>
              <w:rPr>
                <w:rFonts w:ascii="Symbol" w:hAnsi="Symbol" w:cs="Symbol"/>
                <w:i/>
                <w:sz w:val="14"/>
              </w:rPr>
              <w:t></w:t>
            </w:r>
            <w:r>
              <w:rPr>
                <w:rFonts w:ascii="Verdana" w:hAnsi="Verdana" w:cs="Verdana"/>
                <w:i/>
                <w:sz w:val="14"/>
              </w:rPr>
              <w:t>P: Caída de presión en el tramo</w:t>
            </w:r>
          </w:p>
          <w:p w:rsidR="00CD38B3" w:rsidRDefault="00CD38B3" w:rsidP="00CD38B3">
            <w:pPr>
              <w:ind w:left="283"/>
              <w:rPr>
                <w:rFonts w:ascii="Verdana" w:hAnsi="Verdana" w:cs="Verdana"/>
                <w:i/>
                <w:sz w:val="14"/>
              </w:rPr>
            </w:pPr>
            <w:r>
              <w:rPr>
                <w:rFonts w:ascii="Verdana" w:hAnsi="Verdana" w:cs="Verdana"/>
                <w:i/>
                <w:sz w:val="14"/>
              </w:rPr>
              <w:t>P</w:t>
            </w:r>
            <w:r>
              <w:rPr>
                <w:rFonts w:ascii="Verdana" w:hAnsi="Verdana" w:cs="Verdana"/>
                <w:i/>
                <w:sz w:val="14"/>
                <w:vertAlign w:val="subscript"/>
              </w:rPr>
              <w:t>f</w:t>
            </w:r>
            <w:r>
              <w:rPr>
                <w:rFonts w:ascii="Verdana" w:hAnsi="Verdana" w:cs="Verdana"/>
                <w:i/>
                <w:sz w:val="14"/>
              </w:rPr>
              <w:t>: Presión de salida</w:t>
            </w:r>
          </w:p>
          <w:p w:rsidR="00CD38B3" w:rsidRDefault="00CD38B3" w:rsidP="00CD38B3">
            <w:pPr>
              <w:ind w:left="283"/>
              <w:rPr>
                <w:rFonts w:ascii="Verdana" w:hAnsi="Verdana" w:cs="Verdana"/>
                <w:i/>
                <w:sz w:val="14"/>
              </w:rPr>
            </w:pPr>
            <w:r>
              <w:rPr>
                <w:rFonts w:ascii="Verdana" w:hAnsi="Verdana" w:cs="Verdana"/>
                <w:i/>
                <w:sz w:val="14"/>
              </w:rPr>
              <w:t>Ø: Diámetro interior de la tubería</w:t>
            </w:r>
          </w:p>
          <w:p w:rsidR="00CD38B3" w:rsidRDefault="00CD38B3" w:rsidP="00CD38B3">
            <w:pPr>
              <w:ind w:left="283"/>
              <w:rPr>
                <w:rFonts w:ascii="Verdana" w:hAnsi="Verdana" w:cs="Verdana"/>
                <w:i/>
                <w:sz w:val="14"/>
              </w:rPr>
            </w:pPr>
            <w:r>
              <w:rPr>
                <w:rFonts w:ascii="Verdana" w:hAnsi="Verdana" w:cs="Verdana"/>
                <w:i/>
                <w:sz w:val="14"/>
              </w:rPr>
              <w:t>DN: Diámetro nominal de la tubería</w:t>
            </w:r>
          </w:p>
        </w:tc>
      </w:tr>
    </w:tbl>
    <w:p w:rsidR="00476BB3" w:rsidRDefault="00476BB3" w:rsidP="00C372F9">
      <w:pPr>
        <w:widowControl w:val="0"/>
        <w:autoSpaceDE w:val="0"/>
        <w:autoSpaceDN w:val="0"/>
        <w:adjustRightInd w:val="0"/>
        <w:rPr>
          <w:rFonts w:ascii="Verdana" w:hAnsi="Verdana" w:cs="Verdana"/>
          <w:color w:val="000000"/>
          <w:sz w:val="9"/>
          <w:szCs w:val="9"/>
        </w:rPr>
      </w:pPr>
    </w:p>
    <w:p w:rsidR="00476BB3" w:rsidRDefault="00476BB3" w:rsidP="00C372F9">
      <w:pPr>
        <w:widowControl w:val="0"/>
        <w:autoSpaceDE w:val="0"/>
        <w:autoSpaceDN w:val="0"/>
        <w:adjustRightInd w:val="0"/>
        <w:rPr>
          <w:rFonts w:ascii="Verdana" w:hAnsi="Verdana" w:cs="Verdana"/>
          <w:color w:val="000000"/>
          <w:sz w:val="9"/>
          <w:szCs w:val="9"/>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2.- SEÑALIZACIÓN DE LAS INSTALACIONES MANUALES DE PROTECCIÓN CONTRA INCENDIOS</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Los medios de protección contra incendios de utilización manual (extintores, bocas de incendio, hidrantes exteriores, pulsadores manuales de alarma y dispositivos de disparo de sistemas de extinción) están señalizados mediante las correspondientes señales definidas en la norma UNE 23033-1. Las dimensiones de dichas señales, dependiendo de la distancia de observación, son las siguientes:</w:t>
      </w:r>
    </w:p>
    <w:p w:rsidR="00C372F9" w:rsidRDefault="00C372F9" w:rsidP="00C372F9">
      <w:pPr>
        <w:widowControl w:val="0"/>
        <w:numPr>
          <w:ilvl w:val="0"/>
          <w:numId w:val="30"/>
        </w:numPr>
        <w:tabs>
          <w:tab w:val="clear" w:pos="360"/>
        </w:tabs>
        <w:autoSpaceDE w:val="0"/>
        <w:autoSpaceDN w:val="0"/>
        <w:adjustRightInd w:val="0"/>
        <w:ind w:left="180" w:hanging="180"/>
        <w:rPr>
          <w:rFonts w:ascii="Verdana" w:hAnsi="Verdana" w:cs="Verdana"/>
          <w:color w:val="000000"/>
          <w:sz w:val="18"/>
          <w:szCs w:val="18"/>
        </w:rPr>
      </w:pPr>
      <w:r>
        <w:rPr>
          <w:rFonts w:ascii="Verdana" w:hAnsi="Verdana" w:cs="Verdana"/>
          <w:color w:val="000000"/>
          <w:sz w:val="18"/>
          <w:szCs w:val="18"/>
        </w:rPr>
        <w:t>De 210 x 210 mm cuando la distancia de observación no es superior a 10 m.</w:t>
      </w:r>
    </w:p>
    <w:p w:rsidR="00C372F9" w:rsidRDefault="00C372F9" w:rsidP="00C372F9">
      <w:pPr>
        <w:widowControl w:val="0"/>
        <w:numPr>
          <w:ilvl w:val="0"/>
          <w:numId w:val="30"/>
        </w:numPr>
        <w:tabs>
          <w:tab w:val="clear" w:pos="360"/>
        </w:tabs>
        <w:autoSpaceDE w:val="0"/>
        <w:autoSpaceDN w:val="0"/>
        <w:adjustRightInd w:val="0"/>
        <w:ind w:left="180" w:hanging="180"/>
        <w:rPr>
          <w:rFonts w:ascii="Verdana" w:hAnsi="Verdana" w:cs="Verdana"/>
          <w:color w:val="000000"/>
          <w:sz w:val="18"/>
          <w:szCs w:val="18"/>
        </w:rPr>
      </w:pPr>
      <w:r>
        <w:rPr>
          <w:rFonts w:ascii="Verdana" w:hAnsi="Verdana" w:cs="Verdana"/>
          <w:color w:val="000000"/>
          <w:sz w:val="18"/>
          <w:szCs w:val="18"/>
        </w:rPr>
        <w:t>De 420 x 420 mm cuando la distancia de observación está comprendida entre 10 y 20 m.</w:t>
      </w:r>
    </w:p>
    <w:p w:rsidR="00C372F9" w:rsidRDefault="00C372F9" w:rsidP="00C372F9">
      <w:pPr>
        <w:widowControl w:val="0"/>
        <w:numPr>
          <w:ilvl w:val="0"/>
          <w:numId w:val="30"/>
        </w:numPr>
        <w:tabs>
          <w:tab w:val="clear" w:pos="360"/>
        </w:tabs>
        <w:autoSpaceDE w:val="0"/>
        <w:autoSpaceDN w:val="0"/>
        <w:adjustRightInd w:val="0"/>
        <w:ind w:left="180" w:hanging="180"/>
        <w:rPr>
          <w:rFonts w:ascii="Verdana" w:hAnsi="Verdana" w:cs="Verdana"/>
          <w:color w:val="000000"/>
          <w:sz w:val="18"/>
          <w:szCs w:val="18"/>
        </w:rPr>
      </w:pPr>
      <w:r>
        <w:rPr>
          <w:rFonts w:ascii="Verdana" w:hAnsi="Verdana" w:cs="Verdana"/>
          <w:color w:val="000000"/>
          <w:sz w:val="18"/>
          <w:szCs w:val="18"/>
        </w:rPr>
        <w:t>De 594 x 594 mm  cuando la distancia de observación está comprendida entre 20 y 30 m.</w:t>
      </w:r>
    </w:p>
    <w:p w:rsidR="00C372F9" w:rsidRDefault="00C372F9" w:rsidP="00C372F9">
      <w:pPr>
        <w:widowControl w:val="0"/>
        <w:autoSpaceDE w:val="0"/>
        <w:autoSpaceDN w:val="0"/>
        <w:adjustRightInd w:val="0"/>
        <w:rPr>
          <w:rFonts w:ascii="Verdana" w:hAnsi="Verdana" w:cs="Verdana"/>
          <w:color w:val="000000"/>
          <w:sz w:val="9"/>
          <w:szCs w:val="9"/>
        </w:rPr>
      </w:pP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Las señales serán visibles, incluso en caso de fallo en el suministro eléctrico del alumbrado normal, mediante el alumbrado de emergencia o por fotoluminiscencia. Para las señales fotoluminiscentes, sus características de emisión luminosa cumplen lo establecido en las normas UNE 23035-1:2003, UNE 23035-2:2003 y UNE 23035-4:2003 y su mantenimiento se realizará conforme a lo establecido en la norma UNE 23035-3:2003.</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b/>
          <w:bCs/>
          <w:color w:val="000000"/>
          <w:szCs w:val="26"/>
        </w:rPr>
      </w:pPr>
      <w:r w:rsidRPr="0031629F">
        <w:rPr>
          <w:rFonts w:ascii="Verdana" w:hAnsi="Verdana" w:cs="Verdana"/>
          <w:b/>
          <w:bCs/>
          <w:color w:val="000000"/>
          <w:sz w:val="18"/>
        </w:rPr>
        <w:lastRenderedPageBreak/>
        <w:t>EXIGENCIA BÁSICA SI 5: INTERVENCIÓN DE LOS BOMBEROS</w:t>
      </w:r>
      <w:r w:rsidRPr="0031629F">
        <w:rPr>
          <w:rFonts w:ascii="Verdana" w:hAnsi="Verdana" w:cs="Verdana"/>
          <w:b/>
          <w:bCs/>
          <w:color w:val="000000"/>
          <w:szCs w:val="26"/>
        </w:rPr>
        <w:t xml:space="preserve"> </w:t>
      </w: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1.- CONDICIONES DE APROXIMACIÓN Y ENTORNO</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Como la altura de evacuación del edificio (3.9 m) es inferior a 9 m, según el punto 1.2 (CTE DB SI 5) no es necesario justificar las condiciones del vial de aproximación, ni del espacio de maniobra para los bomberos, a disponer en las fachadas donde se sitúan los accesos al edificio.</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2.- ACCESIBILIDAD POR FACHADA</w:t>
      </w:r>
    </w:p>
    <w:p w:rsidR="00C372F9" w:rsidRDefault="00C372F9" w:rsidP="00C372F9">
      <w:pPr>
        <w:widowControl w:val="0"/>
        <w:autoSpaceDE w:val="0"/>
        <w:autoSpaceDN w:val="0"/>
        <w:adjustRightInd w:val="0"/>
        <w:rPr>
          <w:rFonts w:ascii="Verdana" w:hAnsi="Verdana" w:cs="Verdana"/>
          <w:color w:val="000000"/>
          <w:sz w:val="18"/>
          <w:szCs w:val="18"/>
        </w:rPr>
      </w:pPr>
      <w:r>
        <w:rPr>
          <w:rFonts w:ascii="Verdana" w:hAnsi="Verdana" w:cs="Verdana"/>
          <w:color w:val="000000"/>
          <w:sz w:val="18"/>
          <w:szCs w:val="18"/>
        </w:rPr>
        <w:t>Como la altura de evacuación del edificio (3.9 m) es inferior a 9 m, según el punto 1.2 (CTE DB SI 5) no es necesario justificar las condiciones de accesibilidad por fachada para el personal del servicio de extinción de incendio.</w:t>
      </w:r>
    </w:p>
    <w:p w:rsidR="00C372F9" w:rsidRDefault="00C372F9" w:rsidP="00C372F9">
      <w:pPr>
        <w:widowControl w:val="0"/>
        <w:autoSpaceDE w:val="0"/>
        <w:autoSpaceDN w:val="0"/>
        <w:adjustRightInd w:val="0"/>
        <w:rPr>
          <w:rFonts w:ascii="Verdana" w:hAnsi="Verdana" w:cs="Verdana"/>
          <w:color w:val="000000"/>
          <w:sz w:val="18"/>
          <w:szCs w:val="18"/>
        </w:rPr>
      </w:pPr>
    </w:p>
    <w:p w:rsidR="00C372F9" w:rsidRPr="0031629F" w:rsidRDefault="00C372F9" w:rsidP="00C372F9">
      <w:pPr>
        <w:widowControl w:val="0"/>
        <w:autoSpaceDE w:val="0"/>
        <w:autoSpaceDN w:val="0"/>
        <w:adjustRightInd w:val="0"/>
        <w:spacing w:before="119" w:after="62"/>
        <w:rPr>
          <w:rFonts w:ascii="Verdana" w:hAnsi="Verdana" w:cs="Verdana"/>
          <w:b/>
          <w:bCs/>
          <w:color w:val="000000"/>
          <w:sz w:val="36"/>
          <w:szCs w:val="26"/>
        </w:rPr>
      </w:pPr>
      <w:r w:rsidRPr="0031629F">
        <w:rPr>
          <w:rFonts w:ascii="Verdana" w:hAnsi="Verdana" w:cs="Verdana"/>
          <w:b/>
          <w:bCs/>
          <w:color w:val="000000"/>
          <w:sz w:val="24"/>
          <w:szCs w:val="19"/>
        </w:rPr>
        <w:t>EXIGENCIA BÁSICA SI 6: RESISTENCIA AL FUEGO DE LA ESTRUCTURA</w:t>
      </w:r>
      <w:r w:rsidRPr="0031629F">
        <w:rPr>
          <w:rFonts w:ascii="Verdana" w:hAnsi="Verdana" w:cs="Verdana"/>
          <w:b/>
          <w:bCs/>
          <w:color w:val="000000"/>
          <w:sz w:val="36"/>
          <w:szCs w:val="26"/>
        </w:rPr>
        <w:t xml:space="preserve"> </w:t>
      </w:r>
    </w:p>
    <w:p w:rsidR="00C372F9" w:rsidRPr="0031629F" w:rsidRDefault="00C372F9" w:rsidP="00C372F9">
      <w:pPr>
        <w:widowControl w:val="0"/>
        <w:autoSpaceDE w:val="0"/>
        <w:autoSpaceDN w:val="0"/>
        <w:adjustRightInd w:val="0"/>
        <w:spacing w:before="119" w:after="62"/>
        <w:rPr>
          <w:rFonts w:ascii="Verdana" w:hAnsi="Verdana" w:cs="Verdana"/>
          <w:color w:val="000000"/>
          <w:szCs w:val="26"/>
        </w:rPr>
      </w:pPr>
      <w:r w:rsidRPr="0031629F">
        <w:rPr>
          <w:rFonts w:ascii="Verdana" w:hAnsi="Verdana" w:cs="Verdana"/>
          <w:b/>
          <w:bCs/>
          <w:color w:val="000000"/>
          <w:szCs w:val="26"/>
        </w:rPr>
        <w:t>ELEMENTOS ESTRUCTURALES PRINCIPALES</w:t>
      </w:r>
    </w:p>
    <w:p w:rsidR="00C372F9" w:rsidRDefault="00C372F9" w:rsidP="00C372F9">
      <w:pPr>
        <w:widowControl w:val="0"/>
        <w:autoSpaceDE w:val="0"/>
        <w:autoSpaceDN w:val="0"/>
        <w:adjustRightInd w:val="0"/>
        <w:spacing w:after="62"/>
        <w:rPr>
          <w:rFonts w:ascii="Verdana" w:hAnsi="Verdana" w:cs="Verdana"/>
          <w:color w:val="000000"/>
          <w:sz w:val="18"/>
          <w:szCs w:val="18"/>
        </w:rPr>
      </w:pPr>
      <w:r>
        <w:rPr>
          <w:rFonts w:ascii="Verdana" w:hAnsi="Verdana" w:cs="Verdana"/>
          <w:color w:val="000000"/>
          <w:sz w:val="18"/>
          <w:szCs w:val="18"/>
        </w:rPr>
        <w:t>La resistencia al fuego de los elementos estructurales principales del edificio es suficiente si se cumple alguna de las siguientes condiciones:</w:t>
      </w:r>
    </w:p>
    <w:p w:rsidR="00C372F9" w:rsidRDefault="00C372F9" w:rsidP="00C372F9">
      <w:pPr>
        <w:widowControl w:val="0"/>
        <w:autoSpaceDE w:val="0"/>
        <w:autoSpaceDN w:val="0"/>
        <w:adjustRightInd w:val="0"/>
        <w:spacing w:after="62"/>
        <w:ind w:left="600" w:hanging="240"/>
        <w:rPr>
          <w:rFonts w:ascii="Verdana" w:hAnsi="Verdana" w:cs="Verdana"/>
          <w:color w:val="000000"/>
          <w:sz w:val="18"/>
          <w:szCs w:val="18"/>
        </w:rPr>
      </w:pPr>
      <w:r>
        <w:rPr>
          <w:rFonts w:ascii="Verdana" w:hAnsi="Verdana" w:cs="Verdana"/>
          <w:color w:val="000000"/>
          <w:sz w:val="18"/>
          <w:szCs w:val="18"/>
        </w:rPr>
        <w:t>a) Alcanzan la clase indicada en las tablas 3.1 y 3.2 (CTE DB SI 6 Resistencia al fuego de la estructura), que representan el tiempo de resistencia en minutos ante la acción representada por la curva normalizada tiempo-temperatura en función del uso del sector de incendio o zona de riesgo especial, y de la altura de evacuación del edificio.</w:t>
      </w:r>
    </w:p>
    <w:p w:rsidR="00C372F9" w:rsidRDefault="00C372F9" w:rsidP="00C372F9">
      <w:pPr>
        <w:widowControl w:val="0"/>
        <w:numPr>
          <w:ilvl w:val="12"/>
          <w:numId w:val="0"/>
        </w:numPr>
        <w:autoSpaceDE w:val="0"/>
        <w:autoSpaceDN w:val="0"/>
        <w:adjustRightInd w:val="0"/>
        <w:spacing w:after="62"/>
        <w:ind w:left="600" w:hanging="240"/>
        <w:rPr>
          <w:rFonts w:ascii="Verdana" w:hAnsi="Verdana" w:cs="Verdana"/>
          <w:color w:val="000000"/>
          <w:sz w:val="18"/>
          <w:szCs w:val="18"/>
        </w:rPr>
      </w:pPr>
    </w:p>
    <w:p w:rsidR="00C372F9" w:rsidRDefault="00C372F9" w:rsidP="00C372F9">
      <w:pPr>
        <w:widowControl w:val="0"/>
        <w:autoSpaceDE w:val="0"/>
        <w:autoSpaceDN w:val="0"/>
        <w:adjustRightInd w:val="0"/>
        <w:spacing w:after="147"/>
        <w:ind w:left="600" w:hanging="240"/>
        <w:rPr>
          <w:rFonts w:ascii="Verdana" w:hAnsi="Verdana" w:cs="Verdana"/>
          <w:color w:val="000000"/>
          <w:sz w:val="18"/>
          <w:szCs w:val="18"/>
        </w:rPr>
      </w:pPr>
      <w:r>
        <w:rPr>
          <w:rFonts w:ascii="Verdana" w:hAnsi="Verdana" w:cs="Verdana"/>
          <w:color w:val="000000"/>
          <w:sz w:val="18"/>
          <w:szCs w:val="18"/>
        </w:rPr>
        <w:t>b) Soportan dicha acción durante el tiempo equivalente de exposición al fuego indicado en el Anejo B (CTE DB SI Seguridad en caso de incendio).</w:t>
      </w:r>
    </w:p>
    <w:p w:rsidR="00C00834" w:rsidRDefault="00C00834" w:rsidP="00C372F9">
      <w:pPr>
        <w:widowControl w:val="0"/>
        <w:autoSpaceDE w:val="0"/>
        <w:autoSpaceDN w:val="0"/>
        <w:adjustRightInd w:val="0"/>
        <w:spacing w:after="147"/>
        <w:ind w:left="600" w:hanging="240"/>
        <w:rPr>
          <w:rFonts w:ascii="Verdana" w:hAnsi="Verdana" w:cs="Verdana"/>
          <w:color w:val="000000"/>
          <w:sz w:val="18"/>
          <w:szCs w:val="18"/>
        </w:rPr>
      </w:pPr>
    </w:p>
    <w:p w:rsidR="00C00834" w:rsidRDefault="00C00834" w:rsidP="00C372F9">
      <w:pPr>
        <w:widowControl w:val="0"/>
        <w:autoSpaceDE w:val="0"/>
        <w:autoSpaceDN w:val="0"/>
        <w:adjustRightInd w:val="0"/>
        <w:spacing w:after="147"/>
        <w:ind w:left="600" w:hanging="240"/>
        <w:rPr>
          <w:rFonts w:ascii="Verdana" w:hAnsi="Verdana" w:cs="Verdana"/>
          <w:color w:val="000000"/>
          <w:sz w:val="18"/>
          <w:szCs w:val="18"/>
        </w:rPr>
      </w:pPr>
      <w:r>
        <w:rPr>
          <w:rFonts w:ascii="Verdana" w:hAnsi="Verdana" w:cs="Verdana"/>
          <w:color w:val="000000"/>
          <w:sz w:val="18"/>
          <w:szCs w:val="18"/>
        </w:rPr>
        <w:t>En nuestro caso:</w:t>
      </w:r>
    </w:p>
    <w:p w:rsidR="003C00B1" w:rsidRDefault="003C00B1" w:rsidP="003C00B1">
      <w:pPr>
        <w:pStyle w:val="CUERPOTEXTO"/>
        <w:numPr>
          <w:ilvl w:val="0"/>
          <w:numId w:val="36"/>
        </w:numPr>
      </w:pPr>
      <w:r>
        <w:tab/>
        <w:t>Norma de hormigón: CTE DB SI - Anejo C: Resistencia al fuego de las estructuras de hormigón armado.</w:t>
      </w:r>
    </w:p>
    <w:p w:rsidR="003C00B1" w:rsidRDefault="003C00B1" w:rsidP="003C00B1">
      <w:pPr>
        <w:pStyle w:val="CUERPOTEXTO"/>
        <w:numPr>
          <w:ilvl w:val="0"/>
          <w:numId w:val="36"/>
        </w:numPr>
      </w:pPr>
      <w:r>
        <w:tab/>
        <w:t>Norma de acero: CTE DB SI - Anejo D: Resistencia al fuego de los elementos de acero.</w:t>
      </w:r>
    </w:p>
    <w:p w:rsidR="003C00B1" w:rsidRDefault="003C00B1" w:rsidP="003C00B1">
      <w:pPr>
        <w:pStyle w:val="CUERPOTEXTO"/>
      </w:pPr>
      <w:r>
        <w:t xml:space="preserve"> </w:t>
      </w:r>
    </w:p>
    <w:p w:rsidR="003C00B1" w:rsidRDefault="003C00B1" w:rsidP="003C00B1">
      <w:pPr>
        <w:pStyle w:val="CUERPOTEXTO"/>
        <w:numPr>
          <w:ilvl w:val="0"/>
          <w:numId w:val="37"/>
        </w:numPr>
      </w:pPr>
      <w:r>
        <w:tab/>
        <w:t>Referencias:</w:t>
      </w:r>
    </w:p>
    <w:p w:rsidR="003C00B1" w:rsidRDefault="003C00B1" w:rsidP="003C00B1">
      <w:pPr>
        <w:pStyle w:val="CUERPOTEXTO"/>
        <w:ind w:left="283"/>
      </w:pPr>
      <w:r>
        <w:t>- R. req.: resistencia requerida, periodo de tiempo durante el cual un elemento estructural debe mantener su capacidad portante, expresado en minutos.</w:t>
      </w:r>
    </w:p>
    <w:p w:rsidR="003C00B1" w:rsidRDefault="003C00B1" w:rsidP="003C00B1">
      <w:pPr>
        <w:pStyle w:val="CUERPOTEXTO"/>
        <w:ind w:left="283"/>
      </w:pPr>
      <w:r>
        <w:t>- F. Comp.: indica si el forjado tiene función de compartimentación.</w:t>
      </w:r>
    </w:p>
    <w:p w:rsidR="003C00B1" w:rsidRDefault="003C00B1" w:rsidP="003C00B1">
      <w:pPr>
        <w:pStyle w:val="CUERPOTEXTO"/>
        <w:ind w:left="283"/>
      </w:pPr>
      <w:r>
        <w:t>- a</w:t>
      </w:r>
      <w:r>
        <w:rPr>
          <w:vertAlign w:val="subscript"/>
        </w:rPr>
        <w:t>m</w:t>
      </w:r>
      <w:r>
        <w:t>: distancia equivalente al eje de las armaduras (CTE DB SI - Anejo C - Fórmula C.1).</w:t>
      </w:r>
    </w:p>
    <w:p w:rsidR="003C00B1" w:rsidRDefault="003C00B1" w:rsidP="003C00B1">
      <w:pPr>
        <w:pStyle w:val="CUERPOTEXTO"/>
        <w:ind w:left="283"/>
      </w:pPr>
      <w:r>
        <w:t>- a</w:t>
      </w:r>
      <w:r>
        <w:rPr>
          <w:vertAlign w:val="subscript"/>
        </w:rPr>
        <w:t>mín</w:t>
      </w:r>
      <w:r>
        <w:t>: distancia mínima equivalente al eje exigida por la norma para cada tipo de elemento estructural.</w:t>
      </w:r>
    </w:p>
    <w:p w:rsidR="003C00B1" w:rsidRDefault="003C00B1" w:rsidP="003C00B1">
      <w:pPr>
        <w:pStyle w:val="CUERPOTEXTO"/>
        <w:ind w:left="283"/>
      </w:pPr>
      <w:r>
        <w:t>- b: menor dimensión de la sección transversal.</w:t>
      </w:r>
    </w:p>
    <w:p w:rsidR="003C00B1" w:rsidRDefault="003C00B1" w:rsidP="003C00B1">
      <w:pPr>
        <w:pStyle w:val="CUERPOTEXTO"/>
        <w:ind w:left="283"/>
      </w:pPr>
      <w:r>
        <w:t>- b</w:t>
      </w:r>
      <w:r>
        <w:rPr>
          <w:vertAlign w:val="subscript"/>
        </w:rPr>
        <w:t>mín</w:t>
      </w:r>
      <w:r>
        <w:t>: valor mínimo de la menor dimensión exigido por la norma.</w:t>
      </w:r>
    </w:p>
    <w:p w:rsidR="003C00B1" w:rsidRDefault="003C00B1" w:rsidP="003C00B1">
      <w:pPr>
        <w:pStyle w:val="CUERPOTEXTO"/>
        <w:ind w:left="283"/>
      </w:pPr>
      <w:r>
        <w:t>- Rev. mín. nec.: espesor de revestimiento mínimo necesario.</w:t>
      </w:r>
    </w:p>
    <w:p w:rsidR="003C00B1" w:rsidRDefault="003C00B1" w:rsidP="003C00B1">
      <w:pPr>
        <w:pStyle w:val="CUERPOTEXTO"/>
        <w:ind w:left="283"/>
      </w:pPr>
      <w:r>
        <w:t>- Aprov.: aprovechamiento máximo del perfil metálico bajo las combinaciones de fuego.</w:t>
      </w:r>
    </w:p>
    <w:p w:rsidR="003C00B1" w:rsidRDefault="003C00B1" w:rsidP="003C00B1">
      <w:pPr>
        <w:pStyle w:val="CUERPOTEXTO"/>
      </w:pPr>
      <w:r>
        <w:t xml:space="preserve"> </w:t>
      </w:r>
    </w:p>
    <w:p w:rsidR="003C00B1" w:rsidRDefault="003C00B1" w:rsidP="003C00B1">
      <w:pPr>
        <w:pStyle w:val="CUERPOTEXTO"/>
        <w:numPr>
          <w:ilvl w:val="0"/>
          <w:numId w:val="37"/>
        </w:numPr>
      </w:pPr>
      <w:r>
        <w:tab/>
        <w:t>Comprobaciones:</w:t>
      </w:r>
    </w:p>
    <w:p w:rsidR="003C00B1" w:rsidRDefault="003C00B1" w:rsidP="003C00B1">
      <w:pPr>
        <w:pStyle w:val="CUERPOTEXTO"/>
        <w:ind w:left="283"/>
      </w:pPr>
      <w:r>
        <w:t>Generales:</w:t>
      </w:r>
    </w:p>
    <w:p w:rsidR="003C00B1" w:rsidRDefault="003C00B1" w:rsidP="003C00B1">
      <w:pPr>
        <w:pStyle w:val="CUERPOTEXTO"/>
        <w:ind w:left="567"/>
      </w:pPr>
      <w:r>
        <w:t>- Distancia equivalente al eje: a</w:t>
      </w:r>
      <w:r>
        <w:rPr>
          <w:vertAlign w:val="subscript"/>
        </w:rPr>
        <w:t>m</w:t>
      </w:r>
      <w:r>
        <w:t xml:space="preserve"> </w:t>
      </w:r>
      <w:r>
        <w:rPr>
          <w:rFonts w:ascii="Symbol" w:hAnsi="Symbol" w:cs="Symbol"/>
        </w:rPr>
        <w:t></w:t>
      </w:r>
      <w:r>
        <w:t xml:space="preserve"> a</w:t>
      </w:r>
      <w:r>
        <w:rPr>
          <w:vertAlign w:val="subscript"/>
        </w:rPr>
        <w:t>mín</w:t>
      </w:r>
      <w:r>
        <w:t xml:space="preserve"> (se indica el espesor de revestimiento necesario para cumplir esta condición cuando resulte necesario).</w:t>
      </w:r>
    </w:p>
    <w:p w:rsidR="003C00B1" w:rsidRDefault="003C00B1" w:rsidP="003C00B1">
      <w:pPr>
        <w:pStyle w:val="CUERPOTEXTO"/>
        <w:ind w:left="567"/>
      </w:pPr>
      <w:r>
        <w:t xml:space="preserve">- Dimensión mínima: b </w:t>
      </w:r>
      <w:r>
        <w:rPr>
          <w:rFonts w:ascii="Symbol" w:hAnsi="Symbol" w:cs="Symbol"/>
        </w:rPr>
        <w:t></w:t>
      </w:r>
      <w:r>
        <w:t xml:space="preserve"> b</w:t>
      </w:r>
      <w:r>
        <w:rPr>
          <w:vertAlign w:val="subscript"/>
        </w:rPr>
        <w:t>mín</w:t>
      </w:r>
      <w:r>
        <w:t>.</w:t>
      </w:r>
    </w:p>
    <w:p w:rsidR="003C00B1" w:rsidRDefault="003C00B1" w:rsidP="003C00B1">
      <w:pPr>
        <w:pStyle w:val="CUERPOTEXTO"/>
      </w:pPr>
      <w:r>
        <w:t xml:space="preserve"> </w:t>
      </w:r>
    </w:p>
    <w:p w:rsidR="003C00B1" w:rsidRDefault="003C00B1" w:rsidP="003C00B1">
      <w:pPr>
        <w:pStyle w:val="CUERPOTEXTO"/>
        <w:ind w:left="283"/>
      </w:pPr>
      <w:r>
        <w:lastRenderedPageBreak/>
        <w:t>Particulares:</w:t>
      </w:r>
    </w:p>
    <w:p w:rsidR="003C00B1" w:rsidRDefault="003C00B1" w:rsidP="003C00B1">
      <w:pPr>
        <w:pStyle w:val="CUERPOTEXTO"/>
        <w:ind w:left="567"/>
      </w:pPr>
      <w:r>
        <w:t>- Se han realizado las comprobaciones particulares para aquellos elementos estructurales en los que la norma así lo exige.</w:t>
      </w:r>
    </w:p>
    <w:p w:rsidR="003C00B1" w:rsidRDefault="003C00B1" w:rsidP="003C00B1">
      <w:pPr>
        <w:pStyle w:val="CUERPOTEXTO"/>
      </w:pPr>
      <w:r>
        <w:t xml:space="preserve"> </w:t>
      </w:r>
    </w:p>
    <w:tbl>
      <w:tblPr>
        <w:tblW w:w="0" w:type="auto"/>
        <w:tblCellMar>
          <w:top w:w="28" w:type="dxa"/>
          <w:left w:w="28" w:type="dxa"/>
          <w:bottom w:w="28" w:type="dxa"/>
          <w:right w:w="28" w:type="dxa"/>
        </w:tblCellMar>
        <w:tblLook w:val="0000"/>
      </w:tblPr>
      <w:tblGrid>
        <w:gridCol w:w="1986"/>
        <w:gridCol w:w="564"/>
        <w:gridCol w:w="733"/>
        <w:gridCol w:w="1985"/>
        <w:gridCol w:w="1208"/>
        <w:gridCol w:w="1597"/>
        <w:gridCol w:w="1338"/>
      </w:tblGrid>
      <w:tr w:rsidR="003C00B1" w:rsidTr="008D6697">
        <w:trPr>
          <w:tblHead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C00B1" w:rsidRDefault="003C00B1" w:rsidP="008D6697">
            <w:pPr>
              <w:pStyle w:val="CUERPOTEXTOTABLA"/>
              <w:jc w:val="center"/>
              <w:rPr>
                <w:b/>
                <w:sz w:val="15"/>
              </w:rPr>
            </w:pPr>
            <w:r>
              <w:rPr>
                <w:b/>
                <w:sz w:val="15"/>
              </w:rPr>
              <w:t>Datos por planta</w:t>
            </w:r>
          </w:p>
        </w:tc>
      </w:tr>
      <w:tr w:rsidR="003C00B1" w:rsidTr="008D6697">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R. req.</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F. Comp.</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Revestimiento de elementos de hormigón</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Revestimiento de elementos metálicos</w:t>
            </w:r>
          </w:p>
        </w:tc>
      </w:tr>
      <w:tr w:rsidR="003C00B1" w:rsidTr="008D6697">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Inferior (forjados y vigas)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Pilares y muros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Vigas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rPr>
                <w:sz w:val="15"/>
              </w:rPr>
            </w:pPr>
            <w:r>
              <w:rPr>
                <w:sz w:val="15"/>
              </w:rPr>
              <w:t>Pilares</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rPr>
                <w:sz w:val="15"/>
              </w:rPr>
            </w:pPr>
            <w:r>
              <w:rPr>
                <w:sz w:val="15"/>
              </w:rPr>
              <w:t>Cubierta (+7,8)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R 90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Mortero de vermiculita-perlita con yeso</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Mortero de vermiculita-perlita con yeso</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rPr>
                <w:sz w:val="15"/>
              </w:rPr>
            </w:pPr>
            <w:r>
              <w:rPr>
                <w:sz w:val="15"/>
              </w:rPr>
              <w:t>Suelo de primera (+3,85)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R 90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Mortero de vermiculita-perlita con yeso</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Mortero de vermiculita-perlita con yeso</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rPr>
                <w:sz w:val="15"/>
              </w:rPr>
            </w:pPr>
            <w:r>
              <w:rPr>
                <w:sz w:val="15"/>
              </w:rPr>
              <w:t>Suelo de Baja (-0,10)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rPr>
                <w:sz w:val="15"/>
              </w:rPr>
            </w:pPr>
            <w:r>
              <w:rPr>
                <w:sz w:val="15"/>
              </w:rPr>
              <w:t>-</w:t>
            </w:r>
          </w:p>
        </w:tc>
      </w:tr>
    </w:tbl>
    <w:p w:rsidR="003C00B1" w:rsidRDefault="003C00B1" w:rsidP="003C00B1">
      <w:pPr>
        <w:spacing w:line="2" w:lineRule="auto"/>
      </w:pPr>
    </w:p>
    <w:p w:rsidR="003C00B1" w:rsidRDefault="003C00B1" w:rsidP="003C00B1">
      <w:pPr>
        <w:spacing w:line="2" w:lineRule="auto"/>
      </w:pPr>
    </w:p>
    <w:p w:rsidR="003C00B1" w:rsidRDefault="003C00B1" w:rsidP="003C00B1">
      <w:pPr>
        <w:pStyle w:val="CAP1"/>
        <w:keepNext/>
      </w:pPr>
      <w:r>
        <w:t>COMPROBACIONES</w:t>
      </w:r>
    </w:p>
    <w:p w:rsidR="003C00B1" w:rsidRDefault="003C00B1" w:rsidP="003C00B1">
      <w:pPr>
        <w:spacing w:line="2" w:lineRule="auto"/>
      </w:pPr>
      <w:bookmarkStart w:id="218" w:name="REF_HTML:_RC_:2:1"/>
      <w:bookmarkEnd w:id="218"/>
    </w:p>
    <w:p w:rsidR="003C00B1" w:rsidRDefault="003C00B1" w:rsidP="003C00B1">
      <w:pPr>
        <w:pStyle w:val="CAP2"/>
        <w:keepNext/>
      </w:pPr>
      <w:r>
        <w:t>Suelo de primera (+3,85)</w:t>
      </w:r>
    </w:p>
    <w:p w:rsidR="003C00B1" w:rsidRDefault="003C00B1" w:rsidP="003C00B1">
      <w:pPr>
        <w:spacing w:line="2" w:lineRule="auto"/>
      </w:pPr>
      <w:bookmarkStart w:id="219" w:name="REF_HTML:_RC_:2:1:1"/>
      <w:bookmarkEnd w:id="219"/>
    </w:p>
    <w:p w:rsidR="003C00B1" w:rsidRDefault="003C00B1" w:rsidP="003C00B1">
      <w:pPr>
        <w:pStyle w:val="CAP3"/>
        <w:keepNext/>
      </w:pPr>
      <w:r>
        <w:t>Elementos de hormigón armado</w:t>
      </w:r>
    </w:p>
    <w:p w:rsidR="003C00B1" w:rsidRDefault="003C00B1" w:rsidP="003C00B1">
      <w:pPr>
        <w:pStyle w:val="CUERPOTEXTO"/>
      </w:pPr>
      <w:r>
        <w:t xml:space="preserve"> </w:t>
      </w:r>
    </w:p>
    <w:tbl>
      <w:tblPr>
        <w:tblW w:w="3750" w:type="pct"/>
        <w:tblCellMar>
          <w:top w:w="28" w:type="dxa"/>
          <w:left w:w="28" w:type="dxa"/>
          <w:bottom w:w="28" w:type="dxa"/>
          <w:right w:w="28" w:type="dxa"/>
        </w:tblCellMar>
        <w:tblLook w:val="0000"/>
      </w:tblPr>
      <w:tblGrid>
        <w:gridCol w:w="1183"/>
        <w:gridCol w:w="1338"/>
        <w:gridCol w:w="758"/>
        <w:gridCol w:w="758"/>
        <w:gridCol w:w="1792"/>
        <w:gridCol w:w="1229"/>
      </w:tblGrid>
      <w:tr w:rsidR="003C00B1" w:rsidTr="008D6697">
        <w:trPr>
          <w:tblHead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C00B1" w:rsidRDefault="003C00B1" w:rsidP="008D6697">
            <w:pPr>
              <w:pStyle w:val="CUERPOTEXTOTABLA"/>
              <w:jc w:val="center"/>
              <w:rPr>
                <w:b/>
              </w:rPr>
            </w:pPr>
            <w:r>
              <w:rPr>
                <w:b/>
              </w:rPr>
              <w:t>Suelo de primera (+3,85) - Placas aligeradas - R 90</w:t>
            </w:r>
          </w:p>
        </w:tc>
      </w:tr>
      <w:tr w:rsidR="003C00B1" w:rsidTr="008D6697">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Paño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Forjado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a</w:t>
            </w:r>
            <w:r>
              <w:rPr>
                <w:sz w:val="14"/>
                <w:vertAlign w:val="subscript"/>
              </w:rPr>
              <w:t>m</w:t>
            </w:r>
          </w:p>
          <w:p w:rsidR="003C00B1" w:rsidRDefault="003C00B1" w:rsidP="008D6697">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a</w:t>
            </w:r>
            <w:r>
              <w:rPr>
                <w:sz w:val="14"/>
                <w:vertAlign w:val="subscript"/>
              </w:rPr>
              <w:t>mín</w:t>
            </w:r>
          </w:p>
          <w:p w:rsidR="003C00B1" w:rsidRDefault="003C00B1" w:rsidP="008D6697">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Rev. mín. nec.</w:t>
            </w:r>
          </w:p>
          <w:p w:rsidR="003C00B1" w:rsidRDefault="003C00B1" w:rsidP="008D6697">
            <w:pPr>
              <w:pStyle w:val="CUERPOTEXTOTABLA"/>
              <w:jc w:val="center"/>
            </w:pPr>
            <w:r>
              <w:rPr>
                <w:sz w:val="14"/>
              </w:rPr>
              <w:t>M. Yeso</w:t>
            </w:r>
            <w:r>
              <w:rPr>
                <w:sz w:val="14"/>
                <w:vertAlign w:val="superscript"/>
              </w:rPr>
              <w:t>(1)</w:t>
            </w:r>
          </w:p>
          <w:p w:rsidR="003C00B1" w:rsidRDefault="003C00B1" w:rsidP="008D6697">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Estado</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ROD255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gridSpan w:val="6"/>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3C00B1" w:rsidRDefault="003C00B1" w:rsidP="008D6697">
            <w:pPr>
              <w:pStyle w:val="CUERPOTEXTOTABLA"/>
              <w:rPr>
                <w:i/>
                <w:sz w:val="14"/>
              </w:rPr>
            </w:pPr>
            <w:r>
              <w:rPr>
                <w:i/>
                <w:sz w:val="14"/>
              </w:rPr>
              <w:t>Notas:</w:t>
            </w:r>
          </w:p>
          <w:p w:rsidR="003C00B1" w:rsidRDefault="003C00B1" w:rsidP="008D6697">
            <w:pPr>
              <w:pStyle w:val="CUERPOTEXTOTABLA"/>
              <w:ind w:left="283"/>
              <w:jc w:val="both"/>
              <w:rPr>
                <w:i/>
                <w:sz w:val="14"/>
              </w:rPr>
            </w:pPr>
            <w:r>
              <w:rPr>
                <w:i/>
                <w:sz w:val="14"/>
                <w:vertAlign w:val="superscript"/>
              </w:rPr>
              <w:t>(1)</w:t>
            </w:r>
            <w:r>
              <w:rPr>
                <w:i/>
                <w:sz w:val="14"/>
              </w:rPr>
              <w:t xml:space="preserve"> Mortero de yeso. Se recomienda que su puesta en obra se realice por proyección (Artículo C.2.4-2 CTE DB SI).</w:t>
            </w:r>
          </w:p>
        </w:tc>
      </w:tr>
    </w:tbl>
    <w:p w:rsidR="003C00B1" w:rsidRDefault="003C00B1" w:rsidP="003C00B1">
      <w:pPr>
        <w:spacing w:line="2" w:lineRule="auto"/>
      </w:pPr>
    </w:p>
    <w:p w:rsidR="003C00B1" w:rsidRDefault="003C00B1" w:rsidP="003C00B1">
      <w:pPr>
        <w:pStyle w:val="CUERPOTEXTO"/>
      </w:pPr>
      <w:r>
        <w:t xml:space="preserve"> </w:t>
      </w:r>
    </w:p>
    <w:p w:rsidR="003C00B1" w:rsidRDefault="003C00B1" w:rsidP="003C00B1">
      <w:pPr>
        <w:spacing w:line="2" w:lineRule="auto"/>
      </w:pPr>
      <w:bookmarkStart w:id="220" w:name="REF_HTML:_RC_:2:1:2"/>
      <w:bookmarkEnd w:id="220"/>
    </w:p>
    <w:p w:rsidR="003C00B1" w:rsidRDefault="003C00B1" w:rsidP="003C00B1">
      <w:pPr>
        <w:pStyle w:val="CAP3"/>
        <w:keepNext/>
      </w:pPr>
      <w:r>
        <w:t>Elementos metálicos</w:t>
      </w:r>
    </w:p>
    <w:tbl>
      <w:tblPr>
        <w:tblW w:w="0" w:type="auto"/>
        <w:tblCellMar>
          <w:top w:w="28" w:type="dxa"/>
          <w:left w:w="28" w:type="dxa"/>
          <w:bottom w:w="28" w:type="dxa"/>
          <w:right w:w="28" w:type="dxa"/>
        </w:tblCellMar>
        <w:tblLook w:val="0000"/>
      </w:tblPr>
      <w:tblGrid>
        <w:gridCol w:w="559"/>
        <w:gridCol w:w="983"/>
        <w:gridCol w:w="1862"/>
        <w:gridCol w:w="809"/>
      </w:tblGrid>
      <w:tr w:rsidR="003C00B1" w:rsidTr="008D6697">
        <w:trPr>
          <w:tblHead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C00B1" w:rsidRDefault="003C00B1" w:rsidP="008D6697">
            <w:pPr>
              <w:pStyle w:val="CUERPOTEXTOTABLA"/>
              <w:jc w:val="center"/>
              <w:rPr>
                <w:b/>
              </w:rPr>
            </w:pPr>
            <w:r>
              <w:rPr>
                <w:b/>
              </w:rPr>
              <w:t>Suelo de primera (+3,85) - Pilares - R 90</w:t>
            </w:r>
          </w:p>
        </w:tc>
      </w:tr>
      <w:tr w:rsidR="003C00B1" w:rsidTr="008D6697">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Refs.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Sección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Revestimiento</w:t>
            </w:r>
          </w:p>
          <w:p w:rsidR="003C00B1" w:rsidRDefault="003C00B1" w:rsidP="008D6697">
            <w:pPr>
              <w:pStyle w:val="CUERPOTEXTOTABLA"/>
              <w:jc w:val="center"/>
            </w:pPr>
            <w:r>
              <w:t>M. verm. y yeso</w:t>
            </w:r>
            <w:r>
              <w:rPr>
                <w:vertAlign w:val="superscript"/>
              </w:rPr>
              <w:t>(1)</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Estado</w:t>
            </w:r>
          </w:p>
        </w:tc>
      </w:tr>
      <w:tr w:rsidR="003C00B1" w:rsidTr="008D6697">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Espesor (mm)</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lastRenderedPageBreak/>
              <w:t>P27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gridSpan w:val="4"/>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3C00B1" w:rsidRDefault="003C00B1" w:rsidP="008D6697">
            <w:pPr>
              <w:pStyle w:val="CUERPOTEXTOTABLA"/>
              <w:rPr>
                <w:i/>
                <w:sz w:val="14"/>
              </w:rPr>
            </w:pPr>
            <w:r>
              <w:rPr>
                <w:i/>
                <w:sz w:val="14"/>
              </w:rPr>
              <w:t>Notas:</w:t>
            </w:r>
          </w:p>
          <w:p w:rsidR="003C00B1" w:rsidRDefault="003C00B1" w:rsidP="008D6697">
            <w:pPr>
              <w:pStyle w:val="CUERPOTEXTOTABLA"/>
              <w:ind w:left="283"/>
              <w:jc w:val="both"/>
              <w:rPr>
                <w:i/>
                <w:sz w:val="14"/>
              </w:rPr>
            </w:pPr>
            <w:r>
              <w:rPr>
                <w:i/>
                <w:sz w:val="14"/>
                <w:vertAlign w:val="superscript"/>
              </w:rPr>
              <w:t>(1)</w:t>
            </w:r>
            <w:r>
              <w:rPr>
                <w:i/>
                <w:sz w:val="14"/>
              </w:rPr>
              <w:t xml:space="preserve"> Mortero de vermiculita-perlita con yeso</w:t>
            </w:r>
          </w:p>
        </w:tc>
      </w:tr>
    </w:tbl>
    <w:p w:rsidR="003C00B1" w:rsidRDefault="003C00B1" w:rsidP="003C00B1">
      <w:pPr>
        <w:spacing w:line="2" w:lineRule="auto"/>
      </w:pPr>
    </w:p>
    <w:p w:rsidR="003C00B1" w:rsidRDefault="003C00B1" w:rsidP="003C00B1">
      <w:pPr>
        <w:pStyle w:val="CUERPOTEXTO"/>
      </w:pPr>
      <w:r>
        <w:t xml:space="preserve"> </w:t>
      </w:r>
    </w:p>
    <w:tbl>
      <w:tblPr>
        <w:tblW w:w="3750" w:type="pct"/>
        <w:tblCellMar>
          <w:top w:w="28" w:type="dxa"/>
          <w:left w:w="28" w:type="dxa"/>
          <w:bottom w:w="28" w:type="dxa"/>
          <w:right w:w="28" w:type="dxa"/>
        </w:tblCellMar>
        <w:tblLook w:val="0000"/>
      </w:tblPr>
      <w:tblGrid>
        <w:gridCol w:w="768"/>
        <w:gridCol w:w="926"/>
        <w:gridCol w:w="1024"/>
        <w:gridCol w:w="1098"/>
        <w:gridCol w:w="881"/>
        <w:gridCol w:w="1518"/>
        <w:gridCol w:w="843"/>
      </w:tblGrid>
      <w:tr w:rsidR="003C00B1" w:rsidTr="008D6697">
        <w:trPr>
          <w:tblHead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C00B1" w:rsidRDefault="003C00B1" w:rsidP="008D6697">
            <w:pPr>
              <w:pStyle w:val="CUERPOTEXTOTABLA"/>
              <w:jc w:val="center"/>
              <w:rPr>
                <w:b/>
              </w:rPr>
            </w:pPr>
            <w:r>
              <w:rPr>
                <w:b/>
              </w:rPr>
              <w:t>Suelo de primera (+3,85) - Vigas - R 90</w:t>
            </w:r>
          </w:p>
        </w:tc>
      </w:tr>
      <w:tr w:rsidR="003C00B1" w:rsidTr="008D6697">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Pórtico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Perfil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 xml:space="preserve">Temperatura </w:t>
            </w:r>
          </w:p>
          <w:p w:rsidR="003C00B1" w:rsidRDefault="003C00B1" w:rsidP="008D6697">
            <w:pPr>
              <w:pStyle w:val="CUERPOTEXTOTABLA"/>
              <w:jc w:val="center"/>
            </w:pPr>
            <w:r>
              <w:rPr>
                <w:sz w:val="14"/>
              </w:rPr>
              <w:t>perfil</w:t>
            </w:r>
          </w:p>
          <w:p w:rsidR="003C00B1" w:rsidRDefault="003C00B1" w:rsidP="008D6697">
            <w:pPr>
              <w:pStyle w:val="CUERPOTEXTOTABLA"/>
              <w:jc w:val="center"/>
            </w:pPr>
            <w:r>
              <w:rPr>
                <w:sz w:val="14"/>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Aprov.</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Rev. mín. nec.</w:t>
            </w:r>
          </w:p>
          <w:p w:rsidR="003C00B1" w:rsidRDefault="003C00B1" w:rsidP="008D6697">
            <w:pPr>
              <w:pStyle w:val="CUERPOTEXTOTABLA"/>
              <w:jc w:val="center"/>
            </w:pPr>
            <w:r>
              <w:rPr>
                <w:sz w:val="14"/>
              </w:rPr>
              <w:t>M. verm. y yeso</w:t>
            </w:r>
            <w:r>
              <w:rPr>
                <w:sz w:val="14"/>
                <w:vertAlign w:val="superscript"/>
              </w:rPr>
              <w:t>(1)</w:t>
            </w:r>
          </w:p>
          <w:p w:rsidR="003C00B1" w:rsidRDefault="003C00B1" w:rsidP="008D6697">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Estado</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P27-P28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77.82%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P28-P29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65.39%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P29-P30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87.14%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P30-P31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93.06%</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P31-P32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85.61%</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P32-P33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88.50%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P33-P34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44.82%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P34-P35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85.81%</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P18-P19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83.86%</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P19-P20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69.93%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P20-P21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46.60%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P21-P22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87.60%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P22-P23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86.36%</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P23-P24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89.54%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P24-P25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99.13%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P25-P26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89.39%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P08-P09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85.78%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P09-P10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71.55%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P10-P11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88.07%</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P11-P12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88.85%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P12-P13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86.33%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P13-P14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89.85%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P14-P15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88.91%</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P15-P16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66.46%</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P16-P17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50.12%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P01-P02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82.05%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P02-P03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68.53%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P04-P05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84.28%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P05-P06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496.5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98.69%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P06-P07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84.81%</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P27-P18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74.95%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P18-P08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54.36%</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P08-P01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73.64%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P29-P20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17.21%</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P20-P10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36.67%</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P10-P03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71.50%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P30-P21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17.32%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P21-P11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24.05%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P11-P04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68.50%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P31-P22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18.53%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P22-P12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8.61%</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P12-P05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18.84%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P32-P23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18.54%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P23-P13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9.07%</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P13-P06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20.14%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P33-P24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17.35%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P24-P14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21.62%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P14-P07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71.04%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P35-P26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72.95%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P26-P17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59.82%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gridSpan w:val="7"/>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3C00B1" w:rsidRDefault="003C00B1" w:rsidP="008D6697">
            <w:pPr>
              <w:pStyle w:val="CUERPOTEXTOTABLA"/>
              <w:rPr>
                <w:i/>
                <w:sz w:val="14"/>
              </w:rPr>
            </w:pPr>
            <w:r>
              <w:rPr>
                <w:i/>
                <w:sz w:val="14"/>
              </w:rPr>
              <w:t>Notas:</w:t>
            </w:r>
          </w:p>
          <w:p w:rsidR="003C00B1" w:rsidRDefault="003C00B1" w:rsidP="008D6697">
            <w:pPr>
              <w:pStyle w:val="CUERPOTEXTOTABLA"/>
              <w:ind w:left="283"/>
              <w:jc w:val="both"/>
              <w:rPr>
                <w:i/>
                <w:sz w:val="14"/>
              </w:rPr>
            </w:pPr>
            <w:r>
              <w:rPr>
                <w:i/>
                <w:sz w:val="14"/>
                <w:vertAlign w:val="superscript"/>
              </w:rPr>
              <w:t>(1)</w:t>
            </w:r>
            <w:r>
              <w:rPr>
                <w:i/>
                <w:sz w:val="14"/>
              </w:rPr>
              <w:t xml:space="preserve"> Mortero de vermiculita-perlita con yeso</w:t>
            </w:r>
          </w:p>
        </w:tc>
      </w:tr>
    </w:tbl>
    <w:p w:rsidR="003C00B1" w:rsidRDefault="003C00B1" w:rsidP="003C00B1">
      <w:pPr>
        <w:spacing w:line="2" w:lineRule="auto"/>
      </w:pPr>
    </w:p>
    <w:p w:rsidR="003C00B1" w:rsidRDefault="003C00B1" w:rsidP="003C00B1">
      <w:pPr>
        <w:pStyle w:val="CUERPOTEXTO"/>
      </w:pPr>
      <w:r>
        <w:t xml:space="preserve"> </w:t>
      </w:r>
    </w:p>
    <w:p w:rsidR="003C00B1" w:rsidRDefault="003C00B1" w:rsidP="003C00B1">
      <w:pPr>
        <w:spacing w:line="2" w:lineRule="auto"/>
      </w:pPr>
      <w:bookmarkStart w:id="221" w:name="REF_HTML:_RC_:2:2"/>
      <w:bookmarkEnd w:id="221"/>
    </w:p>
    <w:p w:rsidR="003C00B1" w:rsidRDefault="003C00B1" w:rsidP="003C00B1">
      <w:pPr>
        <w:pStyle w:val="CAP2"/>
        <w:keepNext/>
      </w:pPr>
      <w:r>
        <w:t>Cubierta (+7,8)</w:t>
      </w:r>
    </w:p>
    <w:p w:rsidR="003C00B1" w:rsidRDefault="003C00B1" w:rsidP="003C00B1">
      <w:pPr>
        <w:spacing w:line="2" w:lineRule="auto"/>
      </w:pPr>
      <w:bookmarkStart w:id="222" w:name="REF_HTML:_RC_:2:2:1"/>
      <w:bookmarkEnd w:id="222"/>
    </w:p>
    <w:p w:rsidR="003C00B1" w:rsidRDefault="003C00B1" w:rsidP="003C00B1">
      <w:pPr>
        <w:pStyle w:val="CAP3"/>
        <w:keepNext/>
      </w:pPr>
      <w:r>
        <w:t>Elementos de hormigón armado</w:t>
      </w:r>
    </w:p>
    <w:p w:rsidR="003C00B1" w:rsidRDefault="003C00B1" w:rsidP="003C00B1">
      <w:pPr>
        <w:pStyle w:val="CUERPOTEXTO"/>
      </w:pPr>
      <w:r>
        <w:t xml:space="preserve"> </w:t>
      </w:r>
    </w:p>
    <w:tbl>
      <w:tblPr>
        <w:tblW w:w="3750" w:type="pct"/>
        <w:tblCellMar>
          <w:top w:w="28" w:type="dxa"/>
          <w:left w:w="28" w:type="dxa"/>
          <w:bottom w:w="28" w:type="dxa"/>
          <w:right w:w="28" w:type="dxa"/>
        </w:tblCellMar>
        <w:tblLook w:val="0000"/>
      </w:tblPr>
      <w:tblGrid>
        <w:gridCol w:w="1185"/>
        <w:gridCol w:w="1337"/>
        <w:gridCol w:w="758"/>
        <w:gridCol w:w="758"/>
        <w:gridCol w:w="1792"/>
        <w:gridCol w:w="1228"/>
      </w:tblGrid>
      <w:tr w:rsidR="003C00B1" w:rsidTr="008D6697">
        <w:trPr>
          <w:tblHead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C00B1" w:rsidRDefault="003C00B1" w:rsidP="008D6697">
            <w:pPr>
              <w:pStyle w:val="CUERPOTEXTOTABLA"/>
              <w:jc w:val="center"/>
              <w:rPr>
                <w:b/>
              </w:rPr>
            </w:pPr>
            <w:r>
              <w:rPr>
                <w:b/>
              </w:rPr>
              <w:t>Cubierta (+7,8) - Placas aligeradas - R 90</w:t>
            </w:r>
          </w:p>
        </w:tc>
      </w:tr>
      <w:tr w:rsidR="003C00B1" w:rsidTr="008D6697">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Paño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Forjado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a</w:t>
            </w:r>
            <w:r>
              <w:rPr>
                <w:sz w:val="14"/>
                <w:vertAlign w:val="subscript"/>
              </w:rPr>
              <w:t>m</w:t>
            </w:r>
          </w:p>
          <w:p w:rsidR="003C00B1" w:rsidRDefault="003C00B1" w:rsidP="008D6697">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a</w:t>
            </w:r>
            <w:r>
              <w:rPr>
                <w:sz w:val="14"/>
                <w:vertAlign w:val="subscript"/>
              </w:rPr>
              <w:t>mín</w:t>
            </w:r>
          </w:p>
          <w:p w:rsidR="003C00B1" w:rsidRDefault="003C00B1" w:rsidP="008D6697">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Rev. mín. nec.</w:t>
            </w:r>
          </w:p>
          <w:p w:rsidR="003C00B1" w:rsidRDefault="003C00B1" w:rsidP="008D6697">
            <w:pPr>
              <w:pStyle w:val="CUERPOTEXTOTABLA"/>
              <w:jc w:val="center"/>
            </w:pPr>
            <w:r>
              <w:rPr>
                <w:sz w:val="14"/>
              </w:rPr>
              <w:t>M. Yeso</w:t>
            </w:r>
            <w:r>
              <w:rPr>
                <w:sz w:val="14"/>
                <w:vertAlign w:val="superscript"/>
              </w:rPr>
              <w:t>(1)</w:t>
            </w:r>
          </w:p>
          <w:p w:rsidR="003C00B1" w:rsidRDefault="003C00B1" w:rsidP="008D6697">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Estado</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ROD255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gridSpan w:val="6"/>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3C00B1" w:rsidRDefault="003C00B1" w:rsidP="008D6697">
            <w:pPr>
              <w:pStyle w:val="CUERPOTEXTOTABLA"/>
              <w:rPr>
                <w:i/>
                <w:sz w:val="14"/>
              </w:rPr>
            </w:pPr>
            <w:r>
              <w:rPr>
                <w:i/>
                <w:sz w:val="14"/>
              </w:rPr>
              <w:t>Notas:</w:t>
            </w:r>
          </w:p>
          <w:p w:rsidR="003C00B1" w:rsidRDefault="003C00B1" w:rsidP="008D6697">
            <w:pPr>
              <w:pStyle w:val="CUERPOTEXTOTABLA"/>
              <w:ind w:left="283"/>
              <w:jc w:val="both"/>
              <w:rPr>
                <w:i/>
                <w:sz w:val="14"/>
              </w:rPr>
            </w:pPr>
            <w:r>
              <w:rPr>
                <w:i/>
                <w:sz w:val="14"/>
                <w:vertAlign w:val="superscript"/>
              </w:rPr>
              <w:t>(1)</w:t>
            </w:r>
            <w:r>
              <w:rPr>
                <w:i/>
                <w:sz w:val="14"/>
              </w:rPr>
              <w:t xml:space="preserve"> Mortero de yeso. Se recomienda que su puesta en obra se realice por proyección (Artículo C.2.4-2 CTE DB SI).</w:t>
            </w:r>
          </w:p>
        </w:tc>
      </w:tr>
    </w:tbl>
    <w:p w:rsidR="003C00B1" w:rsidRDefault="003C00B1" w:rsidP="003C00B1">
      <w:pPr>
        <w:spacing w:line="2" w:lineRule="auto"/>
      </w:pPr>
    </w:p>
    <w:p w:rsidR="003C00B1" w:rsidRDefault="003C00B1" w:rsidP="003C00B1">
      <w:pPr>
        <w:pStyle w:val="CUERPOTEXTO"/>
      </w:pPr>
      <w:r>
        <w:t xml:space="preserve"> </w:t>
      </w:r>
    </w:p>
    <w:p w:rsidR="003C00B1" w:rsidRDefault="003C00B1" w:rsidP="003C00B1">
      <w:pPr>
        <w:spacing w:line="2" w:lineRule="auto"/>
      </w:pPr>
      <w:bookmarkStart w:id="223" w:name="REF_HTML:_RC_:2:2:2"/>
      <w:bookmarkEnd w:id="223"/>
    </w:p>
    <w:p w:rsidR="003C00B1" w:rsidRDefault="003C00B1" w:rsidP="003C00B1">
      <w:pPr>
        <w:pStyle w:val="CAP3"/>
        <w:keepNext/>
      </w:pPr>
      <w:r>
        <w:t>Elementos metálicos</w:t>
      </w:r>
    </w:p>
    <w:tbl>
      <w:tblPr>
        <w:tblW w:w="0" w:type="auto"/>
        <w:tblCellMar>
          <w:top w:w="28" w:type="dxa"/>
          <w:left w:w="28" w:type="dxa"/>
          <w:bottom w:w="28" w:type="dxa"/>
          <w:right w:w="28" w:type="dxa"/>
        </w:tblCellMar>
        <w:tblLook w:val="0000"/>
      </w:tblPr>
      <w:tblGrid>
        <w:gridCol w:w="511"/>
        <w:gridCol w:w="899"/>
        <w:gridCol w:w="1703"/>
        <w:gridCol w:w="740"/>
      </w:tblGrid>
      <w:tr w:rsidR="003C00B1" w:rsidTr="008D6697">
        <w:trPr>
          <w:tblHead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C00B1" w:rsidRDefault="003C00B1" w:rsidP="008D6697">
            <w:pPr>
              <w:pStyle w:val="CUERPOTEXTOTABLA"/>
              <w:jc w:val="center"/>
              <w:rPr>
                <w:b/>
              </w:rPr>
            </w:pPr>
            <w:r>
              <w:rPr>
                <w:b/>
              </w:rPr>
              <w:t>Cubierta (+7,8) - Pilares - R 90</w:t>
            </w:r>
          </w:p>
        </w:tc>
      </w:tr>
      <w:tr w:rsidR="003C00B1" w:rsidTr="008D6697">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Refs.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Sección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Revestimiento</w:t>
            </w:r>
          </w:p>
          <w:p w:rsidR="003C00B1" w:rsidRDefault="003C00B1" w:rsidP="008D6697">
            <w:pPr>
              <w:pStyle w:val="CUERPOTEXTOTABLA"/>
              <w:jc w:val="center"/>
            </w:pPr>
            <w:r>
              <w:t>M. verm. y yeso</w:t>
            </w:r>
            <w:r>
              <w:rPr>
                <w:vertAlign w:val="superscript"/>
              </w:rPr>
              <w:t>(1)</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Estado</w:t>
            </w:r>
          </w:p>
        </w:tc>
      </w:tr>
      <w:tr w:rsidR="003C00B1" w:rsidTr="008D6697">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Espesor (mm)</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C00B1" w:rsidRDefault="003C00B1" w:rsidP="008D6697"/>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120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gridSpan w:val="4"/>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3C00B1" w:rsidRDefault="003C00B1" w:rsidP="008D6697">
            <w:pPr>
              <w:pStyle w:val="CUERPOTEXTOTABLA"/>
              <w:rPr>
                <w:i/>
                <w:sz w:val="14"/>
              </w:rPr>
            </w:pPr>
            <w:r>
              <w:rPr>
                <w:i/>
                <w:sz w:val="14"/>
              </w:rPr>
              <w:t>Notas:</w:t>
            </w:r>
          </w:p>
          <w:p w:rsidR="003C00B1" w:rsidRDefault="003C00B1" w:rsidP="008D6697">
            <w:pPr>
              <w:pStyle w:val="CUERPOTEXTOTABLA"/>
              <w:ind w:left="283"/>
              <w:jc w:val="both"/>
              <w:rPr>
                <w:i/>
                <w:sz w:val="14"/>
              </w:rPr>
            </w:pPr>
            <w:r>
              <w:rPr>
                <w:i/>
                <w:sz w:val="14"/>
                <w:vertAlign w:val="superscript"/>
              </w:rPr>
              <w:t>(1)</w:t>
            </w:r>
            <w:r>
              <w:rPr>
                <w:i/>
                <w:sz w:val="14"/>
              </w:rPr>
              <w:t xml:space="preserve"> Mortero de vermiculita-perlita con yeso</w:t>
            </w:r>
          </w:p>
        </w:tc>
      </w:tr>
    </w:tbl>
    <w:p w:rsidR="003C00B1" w:rsidRDefault="003C00B1" w:rsidP="003C00B1">
      <w:pPr>
        <w:spacing w:line="2" w:lineRule="auto"/>
      </w:pPr>
    </w:p>
    <w:p w:rsidR="003C00B1" w:rsidRDefault="003C00B1" w:rsidP="003C00B1">
      <w:pPr>
        <w:pStyle w:val="CUERPOTEXTO"/>
      </w:pPr>
      <w:r>
        <w:t xml:space="preserve"> </w:t>
      </w:r>
    </w:p>
    <w:tbl>
      <w:tblPr>
        <w:tblW w:w="3750" w:type="pct"/>
        <w:tblCellMar>
          <w:top w:w="28" w:type="dxa"/>
          <w:left w:w="28" w:type="dxa"/>
          <w:bottom w:w="28" w:type="dxa"/>
          <w:right w:w="28" w:type="dxa"/>
        </w:tblCellMar>
        <w:tblLook w:val="0000"/>
      </w:tblPr>
      <w:tblGrid>
        <w:gridCol w:w="768"/>
        <w:gridCol w:w="926"/>
        <w:gridCol w:w="1024"/>
        <w:gridCol w:w="1098"/>
        <w:gridCol w:w="881"/>
        <w:gridCol w:w="1518"/>
        <w:gridCol w:w="843"/>
      </w:tblGrid>
      <w:tr w:rsidR="003C00B1" w:rsidTr="008D6697">
        <w:trPr>
          <w:tblHead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C00B1" w:rsidRDefault="003C00B1" w:rsidP="008D6697">
            <w:pPr>
              <w:pStyle w:val="CUERPOTEXTOTABLA"/>
              <w:jc w:val="center"/>
              <w:rPr>
                <w:b/>
              </w:rPr>
            </w:pPr>
            <w:r>
              <w:rPr>
                <w:b/>
              </w:rPr>
              <w:t>Cubierta (+7,8) - Vigas - R 90</w:t>
            </w:r>
          </w:p>
        </w:tc>
      </w:tr>
      <w:tr w:rsidR="003C00B1" w:rsidTr="008D6697">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Pórtico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Perfil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 xml:space="preserve">Temperatura </w:t>
            </w:r>
          </w:p>
          <w:p w:rsidR="003C00B1" w:rsidRDefault="003C00B1" w:rsidP="008D6697">
            <w:pPr>
              <w:pStyle w:val="CUERPOTEXTOTABLA"/>
              <w:jc w:val="center"/>
            </w:pPr>
            <w:r>
              <w:rPr>
                <w:sz w:val="14"/>
              </w:rPr>
              <w:t>perfil</w:t>
            </w:r>
          </w:p>
          <w:p w:rsidR="003C00B1" w:rsidRDefault="003C00B1" w:rsidP="008D6697">
            <w:pPr>
              <w:pStyle w:val="CUERPOTEXTOTABLA"/>
              <w:jc w:val="center"/>
            </w:pPr>
            <w:r>
              <w:rPr>
                <w:sz w:val="14"/>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Aprov.</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rPr>
                <w:sz w:val="14"/>
              </w:rPr>
              <w:t>Rev. mín. nec.</w:t>
            </w:r>
          </w:p>
          <w:p w:rsidR="003C00B1" w:rsidRDefault="003C00B1" w:rsidP="008D6697">
            <w:pPr>
              <w:pStyle w:val="CUERPOTEXTOTABLA"/>
              <w:jc w:val="center"/>
            </w:pPr>
            <w:r>
              <w:rPr>
                <w:sz w:val="14"/>
              </w:rPr>
              <w:t>M. verm. y yeso</w:t>
            </w:r>
            <w:r>
              <w:rPr>
                <w:sz w:val="14"/>
                <w:vertAlign w:val="superscript"/>
              </w:rPr>
              <w:t>(1)</w:t>
            </w:r>
          </w:p>
          <w:p w:rsidR="003C00B1" w:rsidRDefault="003C00B1" w:rsidP="008D6697">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C00B1" w:rsidRDefault="003C00B1" w:rsidP="008D6697">
            <w:pPr>
              <w:pStyle w:val="CUERPOTEXTOTABLA"/>
              <w:jc w:val="center"/>
            </w:pPr>
            <w:r>
              <w:t>Estado</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P27-P28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19.38%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P28-P29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17.20%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P29-P30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32.34%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P30-P31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73.69%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P31-P32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74.13%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P32-P33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76.09%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P33-P34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31.53%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P34-P35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65.29%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lastRenderedPageBreak/>
              <w:t>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P18-P19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25.68%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P19-P20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22.82%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P20-P21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41.00%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P21-P22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94.54%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P22-P23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93.60%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P23-P24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95.37%</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P24-P25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35.67%</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P25-P26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63.23%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P08-P09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25.33%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P09-P10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22.49%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P10-P11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39.40%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P11-P12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94.46%</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P12-P13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94.42%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P13-P14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97.59%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P14-P15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34.66%</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P15-P16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16.08%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P16-P17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13.25%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P01-P02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18.97%</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P02-P03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16.72%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P03-P04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28.23%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P04-P05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72.54%</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P05-P06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75.78%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P06-P07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78.27%</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P27-P18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39.85%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P18-P08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15.81%</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P08-P01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38.09%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P30-P21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7.97%</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P21-P11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P11-P04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7.09%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P31-P22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7.62%</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P22-P12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4.33%</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P12-P05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7.76%</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P32-P23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7.48%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P23-P13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4.29%</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P13-P06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8.55%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P33-P24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6.98%</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P24-P14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8.30%</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P14-P07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38.71%</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val="restart"/>
            <w:tcBorders>
              <w:top w:val="single" w:sz="2" w:space="0" w:color="000000"/>
              <w:left w:val="single" w:sz="2" w:space="0" w:color="000000"/>
              <w:right w:val="single" w:sz="2" w:space="0" w:color="000000"/>
            </w:tcBorders>
            <w:noWrap/>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P35-P26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40.55%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vMerge/>
            <w:tcBorders>
              <w:left w:val="single" w:sz="2" w:space="0" w:color="000000"/>
              <w:bottom w:val="single" w:sz="2" w:space="0" w:color="000000"/>
              <w:right w:val="single" w:sz="2" w:space="0" w:color="000000"/>
            </w:tcBorders>
          </w:tcPr>
          <w:p w:rsidR="003C00B1" w:rsidRDefault="003C00B1" w:rsidP="008D6697"/>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P26-P17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574.0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18.35%</w:t>
            </w:r>
          </w:p>
        </w:tc>
        <w:tc>
          <w:tcPr>
            <w:tcW w:w="0" w:type="auto"/>
            <w:tcBorders>
              <w:top w:val="single" w:sz="2" w:space="0" w:color="000000"/>
              <w:left w:val="single" w:sz="2" w:space="0" w:color="000000"/>
              <w:bottom w:val="single" w:sz="2" w:space="0" w:color="000000"/>
              <w:right w:val="single" w:sz="2" w:space="0" w:color="000000"/>
            </w:tcBorders>
            <w:vAlign w:val="center"/>
          </w:tcPr>
          <w:p w:rsidR="003C00B1" w:rsidRDefault="003C00B1" w:rsidP="008D6697">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C00B1" w:rsidRDefault="003C00B1" w:rsidP="008D6697">
            <w:pPr>
              <w:pStyle w:val="CUERPOTEXTOTABLA"/>
              <w:jc w:val="center"/>
            </w:pPr>
            <w:r>
              <w:t>Cumple</w:t>
            </w:r>
          </w:p>
        </w:tc>
      </w:tr>
      <w:tr w:rsidR="003C00B1" w:rsidTr="008D6697">
        <w:trPr>
          <w:cantSplit/>
        </w:trPr>
        <w:tc>
          <w:tcPr>
            <w:tcW w:w="0" w:type="auto"/>
            <w:gridSpan w:val="7"/>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3C00B1" w:rsidRDefault="003C00B1" w:rsidP="008D6697">
            <w:pPr>
              <w:pStyle w:val="CUERPOTEXTOTABLA"/>
              <w:rPr>
                <w:i/>
                <w:sz w:val="14"/>
              </w:rPr>
            </w:pPr>
            <w:r>
              <w:rPr>
                <w:i/>
                <w:sz w:val="14"/>
              </w:rPr>
              <w:t>Notas:</w:t>
            </w:r>
          </w:p>
          <w:p w:rsidR="003C00B1" w:rsidRDefault="003C00B1" w:rsidP="008D6697">
            <w:pPr>
              <w:pStyle w:val="CUERPOTEXTOTABLA"/>
              <w:ind w:left="283"/>
              <w:jc w:val="both"/>
              <w:rPr>
                <w:i/>
                <w:sz w:val="14"/>
              </w:rPr>
            </w:pPr>
            <w:r>
              <w:rPr>
                <w:i/>
                <w:sz w:val="14"/>
                <w:vertAlign w:val="superscript"/>
              </w:rPr>
              <w:t>(1)</w:t>
            </w:r>
            <w:r>
              <w:rPr>
                <w:i/>
                <w:sz w:val="14"/>
              </w:rPr>
              <w:t xml:space="preserve"> Mortero de vermiculita-perlita con yeso</w:t>
            </w:r>
          </w:p>
        </w:tc>
      </w:tr>
    </w:tbl>
    <w:p w:rsidR="00193DA0" w:rsidRDefault="00193DA0" w:rsidP="003C00B1">
      <w:pPr>
        <w:pStyle w:val="CUERPOTEXTO"/>
        <w:numPr>
          <w:ilvl w:val="0"/>
          <w:numId w:val="33"/>
        </w:numPr>
      </w:pPr>
    </w:p>
    <w:sectPr w:rsidR="00193DA0" w:rsidSect="00881AF7">
      <w:footerReference w:type="even" r:id="rId8"/>
      <w:footerReference w:type="default" r:id="rId9"/>
      <w:type w:val="oddPage"/>
      <w:pgSz w:w="11907" w:h="16840" w:code="9"/>
      <w:pgMar w:top="1418" w:right="1134" w:bottom="1418" w:left="1418" w:header="709" w:footer="709" w:gutter="0"/>
      <w:pgNumType w:start="1"/>
      <w:cols w:space="720"/>
      <w:noEndnote/>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68C" w:rsidRDefault="0023768C">
      <w:r>
        <w:separator/>
      </w:r>
    </w:p>
  </w:endnote>
  <w:endnote w:type="continuationSeparator" w:id="0">
    <w:p w:rsidR="0023768C" w:rsidRDefault="002376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12" w:space="0" w:color="FF7F00"/>
      </w:tblBorders>
      <w:tblLook w:val="01E0"/>
    </w:tblPr>
    <w:tblGrid>
      <w:gridCol w:w="9411"/>
    </w:tblGrid>
    <w:tr w:rsidR="008D6697" w:rsidRPr="00306CCA" w:rsidTr="000E6F30">
      <w:trPr>
        <w:trHeight w:val="260"/>
        <w:jc w:val="center"/>
      </w:trPr>
      <w:tc>
        <w:tcPr>
          <w:tcW w:w="9411" w:type="dxa"/>
          <w:vAlign w:val="center"/>
        </w:tcPr>
        <w:p w:rsidR="008D6697" w:rsidRPr="00306CCA" w:rsidRDefault="008D6697" w:rsidP="00306CCA">
          <w:pPr>
            <w:pStyle w:val="Piedepgina"/>
            <w:ind w:right="-108"/>
            <w:jc w:val="center"/>
            <w:rPr>
              <w:b/>
              <w:color w:val="999999"/>
              <w:sz w:val="16"/>
            </w:rPr>
          </w:pPr>
          <w:r w:rsidRPr="00306CCA">
            <w:rPr>
              <w:b/>
              <w:color w:val="999999"/>
              <w:sz w:val="16"/>
            </w:rPr>
            <w:t>Omm</w:t>
          </w:r>
          <w:r w:rsidRPr="00306CCA">
            <w:rPr>
              <w:b/>
              <w:i/>
              <w:color w:val="999999"/>
              <w:sz w:val="16"/>
            </w:rPr>
            <w:t>!</w:t>
          </w:r>
          <w:r w:rsidRPr="00306CCA">
            <w:rPr>
              <w:b/>
              <w:color w:val="999999"/>
              <w:sz w:val="16"/>
            </w:rPr>
            <w:t xml:space="preserve"> arquitectos   Blasco de Garay, 37 entreplanta 28015 MADRID    www.ommarquitectos.com</w:t>
          </w:r>
        </w:p>
      </w:tc>
    </w:tr>
    <w:tr w:rsidR="008D6697" w:rsidRPr="00306CCA" w:rsidTr="000E6F30">
      <w:trPr>
        <w:jc w:val="center"/>
      </w:trPr>
      <w:tc>
        <w:tcPr>
          <w:tcW w:w="9411" w:type="dxa"/>
          <w:vAlign w:val="bottom"/>
        </w:tcPr>
        <w:p w:rsidR="008D6697" w:rsidRPr="00306CCA" w:rsidRDefault="008D6697" w:rsidP="002B2C68">
          <w:pPr>
            <w:pStyle w:val="Piedepgina"/>
            <w:ind w:right="-108"/>
            <w:rPr>
              <w:b/>
              <w:color w:val="999999"/>
              <w:sz w:val="16"/>
            </w:rPr>
          </w:pPr>
          <w:r>
            <w:rPr>
              <w:rStyle w:val="Nmerodepgina"/>
              <w:color w:val="999999"/>
            </w:rPr>
            <w:t>HE</w:t>
          </w:r>
          <w:r w:rsidRPr="00306CCA">
            <w:rPr>
              <w:rStyle w:val="Nmerodepgina"/>
              <w:color w:val="999999"/>
            </w:rPr>
            <w:t>.</w:t>
          </w:r>
          <w:r w:rsidRPr="00306CCA">
            <w:rPr>
              <w:rStyle w:val="Nmerodepgina"/>
              <w:color w:val="999999"/>
            </w:rPr>
            <w:fldChar w:fldCharType="begin"/>
          </w:r>
          <w:r w:rsidRPr="00306CCA">
            <w:rPr>
              <w:rStyle w:val="Nmerodepgina"/>
              <w:color w:val="999999"/>
            </w:rPr>
            <w:instrText xml:space="preserve"> PAGE </w:instrText>
          </w:r>
          <w:r w:rsidRPr="00306CCA">
            <w:rPr>
              <w:rStyle w:val="Nmerodepgina"/>
              <w:color w:val="999999"/>
            </w:rPr>
            <w:fldChar w:fldCharType="separate"/>
          </w:r>
          <w:r>
            <w:rPr>
              <w:rStyle w:val="Nmerodepgina"/>
              <w:noProof/>
              <w:color w:val="999999"/>
            </w:rPr>
            <w:t>2</w:t>
          </w:r>
          <w:r w:rsidRPr="00306CCA">
            <w:rPr>
              <w:rStyle w:val="Nmerodepgina"/>
              <w:color w:val="999999"/>
            </w:rPr>
            <w:fldChar w:fldCharType="end"/>
          </w:r>
        </w:p>
      </w:tc>
    </w:tr>
  </w:tbl>
  <w:p w:rsidR="008D6697" w:rsidRPr="00306CCA" w:rsidRDefault="008D6697" w:rsidP="00306CCA">
    <w:pPr>
      <w:pStyle w:val="Piedepgina"/>
      <w:rPr>
        <w:sz w:val="8"/>
        <w:szCs w:val="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9356" w:type="dxa"/>
      <w:tblInd w:w="108" w:type="dxa"/>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938"/>
      <w:gridCol w:w="1418"/>
    </w:tblGrid>
    <w:tr w:rsidR="008D6697" w:rsidRPr="008D6594" w:rsidTr="00CE748F">
      <w:tc>
        <w:tcPr>
          <w:tcW w:w="7938" w:type="dxa"/>
        </w:tcPr>
        <w:p w:rsidR="008D6697" w:rsidRPr="008D6594" w:rsidRDefault="008D6697" w:rsidP="007C09EE">
          <w:pPr>
            <w:pStyle w:val="Piedepgina"/>
            <w:tabs>
              <w:tab w:val="right" w:pos="10490"/>
            </w:tabs>
            <w:ind w:hanging="108"/>
            <w:rPr>
              <w:rFonts w:cs="Arial"/>
              <w:b/>
              <w:color w:val="808080" w:themeColor="background1" w:themeShade="80"/>
              <w:sz w:val="16"/>
              <w:szCs w:val="16"/>
            </w:rPr>
          </w:pPr>
          <w:r w:rsidRPr="008D6594">
            <w:rPr>
              <w:rFonts w:cs="Arial"/>
              <w:b/>
              <w:color w:val="808080" w:themeColor="background1" w:themeShade="80"/>
              <w:sz w:val="16"/>
              <w:szCs w:val="16"/>
            </w:rPr>
            <w:t xml:space="preserve">I </w:t>
          </w:r>
          <w:r>
            <w:rPr>
              <w:rFonts w:cs="Arial"/>
              <w:b/>
              <w:color w:val="808080" w:themeColor="background1" w:themeShade="80"/>
              <w:sz w:val="16"/>
              <w:szCs w:val="16"/>
            </w:rPr>
            <w:t>MEMORIA</w:t>
          </w:r>
        </w:p>
      </w:tc>
      <w:tc>
        <w:tcPr>
          <w:tcW w:w="1418" w:type="dxa"/>
        </w:tcPr>
        <w:p w:rsidR="008D6697" w:rsidRPr="008D6594" w:rsidRDefault="008D6697" w:rsidP="007C09EE">
          <w:pPr>
            <w:pStyle w:val="Piedepgina"/>
            <w:tabs>
              <w:tab w:val="right" w:pos="10490"/>
            </w:tabs>
            <w:jc w:val="right"/>
            <w:rPr>
              <w:rFonts w:cs="Arial"/>
              <w:b/>
              <w:color w:val="808080" w:themeColor="background1" w:themeShade="80"/>
              <w:sz w:val="16"/>
              <w:szCs w:val="16"/>
            </w:rPr>
          </w:pPr>
          <w:r w:rsidRPr="008D6594">
            <w:rPr>
              <w:rStyle w:val="Nmerodepgina"/>
              <w:rFonts w:cs="Arial"/>
              <w:b w:val="0"/>
              <w:color w:val="808080" w:themeColor="background1" w:themeShade="80"/>
              <w:szCs w:val="16"/>
            </w:rPr>
            <w:fldChar w:fldCharType="begin"/>
          </w:r>
          <w:r w:rsidRPr="008D6594">
            <w:rPr>
              <w:rStyle w:val="Nmerodepgina"/>
              <w:rFonts w:cs="Arial"/>
              <w:b w:val="0"/>
              <w:color w:val="808080" w:themeColor="background1" w:themeShade="80"/>
              <w:szCs w:val="16"/>
            </w:rPr>
            <w:instrText xml:space="preserve"> PAGE </w:instrText>
          </w:r>
          <w:r w:rsidRPr="008D6594">
            <w:rPr>
              <w:rStyle w:val="Nmerodepgina"/>
              <w:rFonts w:cs="Arial"/>
              <w:b w:val="0"/>
              <w:color w:val="808080" w:themeColor="background1" w:themeShade="80"/>
              <w:szCs w:val="16"/>
            </w:rPr>
            <w:fldChar w:fldCharType="separate"/>
          </w:r>
          <w:r w:rsidR="00666747">
            <w:rPr>
              <w:rStyle w:val="Nmerodepgina"/>
              <w:rFonts w:cs="Arial"/>
              <w:b w:val="0"/>
              <w:noProof/>
              <w:color w:val="808080" w:themeColor="background1" w:themeShade="80"/>
              <w:szCs w:val="16"/>
            </w:rPr>
            <w:t>7</w:t>
          </w:r>
          <w:r w:rsidRPr="008D6594">
            <w:rPr>
              <w:rStyle w:val="Nmerodepgina"/>
              <w:rFonts w:cs="Arial"/>
              <w:b w:val="0"/>
              <w:color w:val="808080" w:themeColor="background1" w:themeShade="80"/>
              <w:szCs w:val="16"/>
            </w:rPr>
            <w:fldChar w:fldCharType="end"/>
          </w:r>
        </w:p>
      </w:tc>
    </w:tr>
  </w:tbl>
  <w:p w:rsidR="008D6697" w:rsidRPr="00306CCA" w:rsidRDefault="008D6697">
    <w:pPr>
      <w:pStyle w:val="Piedepgina"/>
      <w:rPr>
        <w:sz w:val="8"/>
        <w:szCs w:val="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68C" w:rsidRDefault="0023768C">
      <w:r>
        <w:separator/>
      </w:r>
    </w:p>
  </w:footnote>
  <w:footnote w:type="continuationSeparator" w:id="0">
    <w:p w:rsidR="0023768C" w:rsidRDefault="00237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B660BF"/>
    <w:multiLevelType w:val="hybridMultilevel"/>
    <w:tmpl w:val="7F9C26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33E08A2"/>
    <w:multiLevelType w:val="multilevel"/>
    <w:tmpl w:val="B534404C"/>
    <w:lvl w:ilvl="0">
      <w:start w:val="1"/>
      <w:numFmt w:val="none"/>
      <w:pStyle w:val="Ttulo1"/>
      <w:suff w:val="space"/>
      <w:lvlText w:val=""/>
      <w:lvlJc w:val="left"/>
      <w:pPr>
        <w:ind w:left="0" w:firstLine="0"/>
      </w:pPr>
      <w:rPr>
        <w:rFonts w:hint="default"/>
      </w:rPr>
    </w:lvl>
    <w:lvl w:ilvl="1">
      <w:start w:val="1"/>
      <w:numFmt w:val="decimal"/>
      <w:pStyle w:val="Ttulo2"/>
      <w:suff w:val="space"/>
      <w:lvlText w:val="%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4320"/>
        </w:tabs>
        <w:ind w:left="1728" w:hanging="648"/>
      </w:pPr>
      <w:rPr>
        <w:rFonts w:hint="default"/>
      </w:rPr>
    </w:lvl>
    <w:lvl w:ilvl="4">
      <w:start w:val="1"/>
      <w:numFmt w:val="decimal"/>
      <w:lvlText w:val="%1.%2.%3.%4.%5."/>
      <w:lvlJc w:val="left"/>
      <w:pPr>
        <w:tabs>
          <w:tab w:val="num" w:pos="5400"/>
        </w:tabs>
        <w:ind w:left="2232" w:hanging="792"/>
      </w:pPr>
      <w:rPr>
        <w:rFonts w:hint="default"/>
      </w:rPr>
    </w:lvl>
    <w:lvl w:ilvl="5">
      <w:start w:val="1"/>
      <w:numFmt w:val="decimal"/>
      <w:lvlText w:val="%1.%2.%3.%4.%5.%6."/>
      <w:lvlJc w:val="left"/>
      <w:pPr>
        <w:tabs>
          <w:tab w:val="num" w:pos="6480"/>
        </w:tabs>
        <w:ind w:left="2736" w:hanging="936"/>
      </w:pPr>
      <w:rPr>
        <w:rFonts w:hint="default"/>
      </w:rPr>
    </w:lvl>
    <w:lvl w:ilvl="6">
      <w:start w:val="1"/>
      <w:numFmt w:val="decimal"/>
      <w:lvlText w:val="%1.%2.%3.%4.%5.%6.%7."/>
      <w:lvlJc w:val="left"/>
      <w:pPr>
        <w:tabs>
          <w:tab w:val="num" w:pos="7560"/>
        </w:tabs>
        <w:ind w:left="3240" w:hanging="1080"/>
      </w:pPr>
      <w:rPr>
        <w:rFonts w:hint="default"/>
      </w:rPr>
    </w:lvl>
    <w:lvl w:ilvl="7">
      <w:start w:val="1"/>
      <w:numFmt w:val="decimal"/>
      <w:lvlText w:val="%1.%2.%3.%4.%5.%6.%7.%8."/>
      <w:lvlJc w:val="left"/>
      <w:pPr>
        <w:tabs>
          <w:tab w:val="num" w:pos="8640"/>
        </w:tabs>
        <w:ind w:left="3744" w:hanging="1224"/>
      </w:pPr>
      <w:rPr>
        <w:rFonts w:hint="default"/>
      </w:rPr>
    </w:lvl>
    <w:lvl w:ilvl="8">
      <w:start w:val="1"/>
      <w:numFmt w:val="decimal"/>
      <w:lvlText w:val="%1.%2.%3.%4.%5.%6.%7.%8.%9."/>
      <w:lvlJc w:val="left"/>
      <w:pPr>
        <w:tabs>
          <w:tab w:val="num" w:pos="9720"/>
        </w:tabs>
        <w:ind w:left="4320" w:hanging="1440"/>
      </w:pPr>
      <w:rPr>
        <w:rFonts w:hint="default"/>
      </w:rPr>
    </w:lvl>
  </w:abstractNum>
  <w:abstractNum w:abstractNumId="3">
    <w:nsid w:val="05BC363D"/>
    <w:multiLevelType w:val="hybridMultilevel"/>
    <w:tmpl w:val="4E36FD0C"/>
    <w:lvl w:ilvl="0" w:tplc="0C0A0017">
      <w:start w:val="1"/>
      <w:numFmt w:val="lowerLetter"/>
      <w:lvlText w:val="%1)"/>
      <w:lvlJc w:val="left"/>
      <w:pPr>
        <w:tabs>
          <w:tab w:val="num" w:pos="1068"/>
        </w:tabs>
        <w:ind w:left="1068" w:hanging="360"/>
      </w:pPr>
      <w:rPr>
        <w:rFonts w:hint="default"/>
      </w:rPr>
    </w:lvl>
    <w:lvl w:ilvl="1" w:tplc="035AD522" w:tentative="1">
      <w:start w:val="1"/>
      <w:numFmt w:val="bullet"/>
      <w:lvlText w:val="o"/>
      <w:lvlJc w:val="left"/>
      <w:pPr>
        <w:tabs>
          <w:tab w:val="num" w:pos="2148"/>
        </w:tabs>
        <w:ind w:left="2148" w:hanging="360"/>
      </w:pPr>
      <w:rPr>
        <w:rFonts w:ascii="Courier New" w:hAnsi="Courier New" w:cs="Courier New" w:hint="default"/>
      </w:rPr>
    </w:lvl>
    <w:lvl w:ilvl="2" w:tplc="1B6AFBEE" w:tentative="1">
      <w:start w:val="1"/>
      <w:numFmt w:val="bullet"/>
      <w:lvlText w:val=""/>
      <w:lvlJc w:val="left"/>
      <w:pPr>
        <w:tabs>
          <w:tab w:val="num" w:pos="2868"/>
        </w:tabs>
        <w:ind w:left="2868" w:hanging="360"/>
      </w:pPr>
      <w:rPr>
        <w:rFonts w:ascii="Wingdings" w:hAnsi="Wingdings" w:hint="default"/>
      </w:rPr>
    </w:lvl>
    <w:lvl w:ilvl="3" w:tplc="9CD05A1C" w:tentative="1">
      <w:start w:val="1"/>
      <w:numFmt w:val="bullet"/>
      <w:lvlText w:val=""/>
      <w:lvlJc w:val="left"/>
      <w:pPr>
        <w:tabs>
          <w:tab w:val="num" w:pos="3588"/>
        </w:tabs>
        <w:ind w:left="3588" w:hanging="360"/>
      </w:pPr>
      <w:rPr>
        <w:rFonts w:ascii="Symbol" w:hAnsi="Symbol" w:hint="default"/>
      </w:rPr>
    </w:lvl>
    <w:lvl w:ilvl="4" w:tplc="5F2C86B0" w:tentative="1">
      <w:start w:val="1"/>
      <w:numFmt w:val="bullet"/>
      <w:lvlText w:val="o"/>
      <w:lvlJc w:val="left"/>
      <w:pPr>
        <w:tabs>
          <w:tab w:val="num" w:pos="4308"/>
        </w:tabs>
        <w:ind w:left="4308" w:hanging="360"/>
      </w:pPr>
      <w:rPr>
        <w:rFonts w:ascii="Courier New" w:hAnsi="Courier New" w:cs="Courier New" w:hint="default"/>
      </w:rPr>
    </w:lvl>
    <w:lvl w:ilvl="5" w:tplc="8F2ACA32" w:tentative="1">
      <w:start w:val="1"/>
      <w:numFmt w:val="bullet"/>
      <w:lvlText w:val=""/>
      <w:lvlJc w:val="left"/>
      <w:pPr>
        <w:tabs>
          <w:tab w:val="num" w:pos="5028"/>
        </w:tabs>
        <w:ind w:left="5028" w:hanging="360"/>
      </w:pPr>
      <w:rPr>
        <w:rFonts w:ascii="Wingdings" w:hAnsi="Wingdings" w:hint="default"/>
      </w:rPr>
    </w:lvl>
    <w:lvl w:ilvl="6" w:tplc="8096671A" w:tentative="1">
      <w:start w:val="1"/>
      <w:numFmt w:val="bullet"/>
      <w:lvlText w:val=""/>
      <w:lvlJc w:val="left"/>
      <w:pPr>
        <w:tabs>
          <w:tab w:val="num" w:pos="5748"/>
        </w:tabs>
        <w:ind w:left="5748" w:hanging="360"/>
      </w:pPr>
      <w:rPr>
        <w:rFonts w:ascii="Symbol" w:hAnsi="Symbol" w:hint="default"/>
      </w:rPr>
    </w:lvl>
    <w:lvl w:ilvl="7" w:tplc="CEC28F46" w:tentative="1">
      <w:start w:val="1"/>
      <w:numFmt w:val="bullet"/>
      <w:lvlText w:val="o"/>
      <w:lvlJc w:val="left"/>
      <w:pPr>
        <w:tabs>
          <w:tab w:val="num" w:pos="6468"/>
        </w:tabs>
        <w:ind w:left="6468" w:hanging="360"/>
      </w:pPr>
      <w:rPr>
        <w:rFonts w:ascii="Courier New" w:hAnsi="Courier New" w:cs="Courier New" w:hint="default"/>
      </w:rPr>
    </w:lvl>
    <w:lvl w:ilvl="8" w:tplc="F9389740" w:tentative="1">
      <w:start w:val="1"/>
      <w:numFmt w:val="bullet"/>
      <w:lvlText w:val=""/>
      <w:lvlJc w:val="left"/>
      <w:pPr>
        <w:tabs>
          <w:tab w:val="num" w:pos="7188"/>
        </w:tabs>
        <w:ind w:left="7188" w:hanging="360"/>
      </w:pPr>
      <w:rPr>
        <w:rFonts w:ascii="Wingdings" w:hAnsi="Wingdings" w:hint="default"/>
      </w:rPr>
    </w:lvl>
  </w:abstractNum>
  <w:abstractNum w:abstractNumId="4">
    <w:nsid w:val="0717347E"/>
    <w:multiLevelType w:val="multilevel"/>
    <w:tmpl w:val="B1CECE84"/>
    <w:lvl w:ilvl="0">
      <w:start w:val="1"/>
      <w:numFmt w:val="decimal"/>
      <w:suff w:val="space"/>
      <w:lvlText w:val="%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
    <w:nsid w:val="087F11A9"/>
    <w:multiLevelType w:val="hybridMultilevel"/>
    <w:tmpl w:val="5D6A4330"/>
    <w:lvl w:ilvl="0" w:tplc="73783CB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EDA761D"/>
    <w:multiLevelType w:val="singleLevel"/>
    <w:tmpl w:val="27C29730"/>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7">
    <w:nsid w:val="13E858BA"/>
    <w:multiLevelType w:val="hybridMultilevel"/>
    <w:tmpl w:val="4E36FD0C"/>
    <w:lvl w:ilvl="0" w:tplc="0C0A0017">
      <w:start w:val="1"/>
      <w:numFmt w:val="lowerLetter"/>
      <w:lvlText w:val="%1)"/>
      <w:lvlJc w:val="left"/>
      <w:pPr>
        <w:tabs>
          <w:tab w:val="num" w:pos="1068"/>
        </w:tabs>
        <w:ind w:left="1068" w:hanging="360"/>
      </w:pPr>
      <w:rPr>
        <w:rFonts w:hint="default"/>
      </w:rPr>
    </w:lvl>
    <w:lvl w:ilvl="1" w:tplc="035AD522" w:tentative="1">
      <w:start w:val="1"/>
      <w:numFmt w:val="bullet"/>
      <w:lvlText w:val="o"/>
      <w:lvlJc w:val="left"/>
      <w:pPr>
        <w:tabs>
          <w:tab w:val="num" w:pos="2148"/>
        </w:tabs>
        <w:ind w:left="2148" w:hanging="360"/>
      </w:pPr>
      <w:rPr>
        <w:rFonts w:ascii="Courier New" w:hAnsi="Courier New" w:cs="Courier New" w:hint="default"/>
      </w:rPr>
    </w:lvl>
    <w:lvl w:ilvl="2" w:tplc="1B6AFBEE" w:tentative="1">
      <w:start w:val="1"/>
      <w:numFmt w:val="bullet"/>
      <w:lvlText w:val=""/>
      <w:lvlJc w:val="left"/>
      <w:pPr>
        <w:tabs>
          <w:tab w:val="num" w:pos="2868"/>
        </w:tabs>
        <w:ind w:left="2868" w:hanging="360"/>
      </w:pPr>
      <w:rPr>
        <w:rFonts w:ascii="Wingdings" w:hAnsi="Wingdings" w:hint="default"/>
      </w:rPr>
    </w:lvl>
    <w:lvl w:ilvl="3" w:tplc="9CD05A1C" w:tentative="1">
      <w:start w:val="1"/>
      <w:numFmt w:val="bullet"/>
      <w:lvlText w:val=""/>
      <w:lvlJc w:val="left"/>
      <w:pPr>
        <w:tabs>
          <w:tab w:val="num" w:pos="3588"/>
        </w:tabs>
        <w:ind w:left="3588" w:hanging="360"/>
      </w:pPr>
      <w:rPr>
        <w:rFonts w:ascii="Symbol" w:hAnsi="Symbol" w:hint="default"/>
      </w:rPr>
    </w:lvl>
    <w:lvl w:ilvl="4" w:tplc="5F2C86B0" w:tentative="1">
      <w:start w:val="1"/>
      <w:numFmt w:val="bullet"/>
      <w:lvlText w:val="o"/>
      <w:lvlJc w:val="left"/>
      <w:pPr>
        <w:tabs>
          <w:tab w:val="num" w:pos="4308"/>
        </w:tabs>
        <w:ind w:left="4308" w:hanging="360"/>
      </w:pPr>
      <w:rPr>
        <w:rFonts w:ascii="Courier New" w:hAnsi="Courier New" w:cs="Courier New" w:hint="default"/>
      </w:rPr>
    </w:lvl>
    <w:lvl w:ilvl="5" w:tplc="8F2ACA32" w:tentative="1">
      <w:start w:val="1"/>
      <w:numFmt w:val="bullet"/>
      <w:lvlText w:val=""/>
      <w:lvlJc w:val="left"/>
      <w:pPr>
        <w:tabs>
          <w:tab w:val="num" w:pos="5028"/>
        </w:tabs>
        <w:ind w:left="5028" w:hanging="360"/>
      </w:pPr>
      <w:rPr>
        <w:rFonts w:ascii="Wingdings" w:hAnsi="Wingdings" w:hint="default"/>
      </w:rPr>
    </w:lvl>
    <w:lvl w:ilvl="6" w:tplc="8096671A" w:tentative="1">
      <w:start w:val="1"/>
      <w:numFmt w:val="bullet"/>
      <w:lvlText w:val=""/>
      <w:lvlJc w:val="left"/>
      <w:pPr>
        <w:tabs>
          <w:tab w:val="num" w:pos="5748"/>
        </w:tabs>
        <w:ind w:left="5748" w:hanging="360"/>
      </w:pPr>
      <w:rPr>
        <w:rFonts w:ascii="Symbol" w:hAnsi="Symbol" w:hint="default"/>
      </w:rPr>
    </w:lvl>
    <w:lvl w:ilvl="7" w:tplc="CEC28F46" w:tentative="1">
      <w:start w:val="1"/>
      <w:numFmt w:val="bullet"/>
      <w:lvlText w:val="o"/>
      <w:lvlJc w:val="left"/>
      <w:pPr>
        <w:tabs>
          <w:tab w:val="num" w:pos="6468"/>
        </w:tabs>
        <w:ind w:left="6468" w:hanging="360"/>
      </w:pPr>
      <w:rPr>
        <w:rFonts w:ascii="Courier New" w:hAnsi="Courier New" w:cs="Courier New" w:hint="default"/>
      </w:rPr>
    </w:lvl>
    <w:lvl w:ilvl="8" w:tplc="F9389740" w:tentative="1">
      <w:start w:val="1"/>
      <w:numFmt w:val="bullet"/>
      <w:lvlText w:val=""/>
      <w:lvlJc w:val="left"/>
      <w:pPr>
        <w:tabs>
          <w:tab w:val="num" w:pos="7188"/>
        </w:tabs>
        <w:ind w:left="7188" w:hanging="360"/>
      </w:pPr>
      <w:rPr>
        <w:rFonts w:ascii="Wingdings" w:hAnsi="Wingdings" w:hint="default"/>
      </w:rPr>
    </w:lvl>
  </w:abstractNum>
  <w:abstractNum w:abstractNumId="8">
    <w:nsid w:val="14EF3BAB"/>
    <w:multiLevelType w:val="singleLevel"/>
    <w:tmpl w:val="A14C8800"/>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9">
    <w:nsid w:val="24726F03"/>
    <w:multiLevelType w:val="hybridMultilevel"/>
    <w:tmpl w:val="0DC6A482"/>
    <w:lvl w:ilvl="0" w:tplc="D30E7914">
      <w:start w:val="1"/>
      <w:numFmt w:val="bullet"/>
      <w:lvlText w:val=""/>
      <w:lvlJc w:val="left"/>
      <w:pPr>
        <w:ind w:left="1429" w:hanging="360"/>
      </w:pPr>
      <w:rPr>
        <w:rFonts w:ascii="Wingdings" w:hAnsi="Wingdings" w:hint="default"/>
        <w:b/>
        <w:i w:val="0"/>
        <w:sz w:val="18"/>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0">
    <w:nsid w:val="28197627"/>
    <w:multiLevelType w:val="singleLevel"/>
    <w:tmpl w:val="F9B09EA4"/>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1">
    <w:nsid w:val="321F7A3B"/>
    <w:multiLevelType w:val="hybridMultilevel"/>
    <w:tmpl w:val="D6C62AA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9FA6534"/>
    <w:multiLevelType w:val="hybridMultilevel"/>
    <w:tmpl w:val="2EB66F88"/>
    <w:lvl w:ilvl="0" w:tplc="93385A9E">
      <w:start w:val="1"/>
      <w:numFmt w:val="bullet"/>
      <w:lvlText w:val="-"/>
      <w:lvlJc w:val="left"/>
      <w:pPr>
        <w:tabs>
          <w:tab w:val="num" w:pos="360"/>
        </w:tabs>
        <w:ind w:left="360" w:hanging="360"/>
      </w:pPr>
      <w:rPr>
        <w:rFonts w:ascii="Century Gothic" w:eastAsia="SimSun" w:hAnsi="Century Gothic" w:cs="Arial,Bold" w:hint="default"/>
      </w:rPr>
    </w:lvl>
    <w:lvl w:ilvl="1" w:tplc="EE9094B4" w:tentative="1">
      <w:start w:val="1"/>
      <w:numFmt w:val="bullet"/>
      <w:lvlText w:val="o"/>
      <w:lvlJc w:val="left"/>
      <w:pPr>
        <w:tabs>
          <w:tab w:val="num" w:pos="1080"/>
        </w:tabs>
        <w:ind w:left="1080" w:hanging="360"/>
      </w:pPr>
      <w:rPr>
        <w:rFonts w:ascii="Courier New" w:hAnsi="Courier New" w:cs="Courier New" w:hint="default"/>
      </w:rPr>
    </w:lvl>
    <w:lvl w:ilvl="2" w:tplc="3FD421D0" w:tentative="1">
      <w:start w:val="1"/>
      <w:numFmt w:val="bullet"/>
      <w:lvlText w:val=""/>
      <w:lvlJc w:val="left"/>
      <w:pPr>
        <w:tabs>
          <w:tab w:val="num" w:pos="1800"/>
        </w:tabs>
        <w:ind w:left="1800" w:hanging="360"/>
      </w:pPr>
      <w:rPr>
        <w:rFonts w:ascii="Wingdings" w:hAnsi="Wingdings" w:hint="default"/>
      </w:rPr>
    </w:lvl>
    <w:lvl w:ilvl="3" w:tplc="8FBED2C8" w:tentative="1">
      <w:start w:val="1"/>
      <w:numFmt w:val="bullet"/>
      <w:lvlText w:val=""/>
      <w:lvlJc w:val="left"/>
      <w:pPr>
        <w:tabs>
          <w:tab w:val="num" w:pos="2520"/>
        </w:tabs>
        <w:ind w:left="2520" w:hanging="360"/>
      </w:pPr>
      <w:rPr>
        <w:rFonts w:ascii="Symbol" w:hAnsi="Symbol" w:hint="default"/>
      </w:rPr>
    </w:lvl>
    <w:lvl w:ilvl="4" w:tplc="040CA4EA" w:tentative="1">
      <w:start w:val="1"/>
      <w:numFmt w:val="bullet"/>
      <w:lvlText w:val="o"/>
      <w:lvlJc w:val="left"/>
      <w:pPr>
        <w:tabs>
          <w:tab w:val="num" w:pos="3240"/>
        </w:tabs>
        <w:ind w:left="3240" w:hanging="360"/>
      </w:pPr>
      <w:rPr>
        <w:rFonts w:ascii="Courier New" w:hAnsi="Courier New" w:cs="Courier New" w:hint="default"/>
      </w:rPr>
    </w:lvl>
    <w:lvl w:ilvl="5" w:tplc="51D0F8CE" w:tentative="1">
      <w:start w:val="1"/>
      <w:numFmt w:val="bullet"/>
      <w:lvlText w:val=""/>
      <w:lvlJc w:val="left"/>
      <w:pPr>
        <w:tabs>
          <w:tab w:val="num" w:pos="3960"/>
        </w:tabs>
        <w:ind w:left="3960" w:hanging="360"/>
      </w:pPr>
      <w:rPr>
        <w:rFonts w:ascii="Wingdings" w:hAnsi="Wingdings" w:hint="default"/>
      </w:rPr>
    </w:lvl>
    <w:lvl w:ilvl="6" w:tplc="9E9E85DC" w:tentative="1">
      <w:start w:val="1"/>
      <w:numFmt w:val="bullet"/>
      <w:lvlText w:val=""/>
      <w:lvlJc w:val="left"/>
      <w:pPr>
        <w:tabs>
          <w:tab w:val="num" w:pos="4680"/>
        </w:tabs>
        <w:ind w:left="4680" w:hanging="360"/>
      </w:pPr>
      <w:rPr>
        <w:rFonts w:ascii="Symbol" w:hAnsi="Symbol" w:hint="default"/>
      </w:rPr>
    </w:lvl>
    <w:lvl w:ilvl="7" w:tplc="B296A0A2" w:tentative="1">
      <w:start w:val="1"/>
      <w:numFmt w:val="bullet"/>
      <w:lvlText w:val="o"/>
      <w:lvlJc w:val="left"/>
      <w:pPr>
        <w:tabs>
          <w:tab w:val="num" w:pos="5400"/>
        </w:tabs>
        <w:ind w:left="5400" w:hanging="360"/>
      </w:pPr>
      <w:rPr>
        <w:rFonts w:ascii="Courier New" w:hAnsi="Courier New" w:cs="Courier New" w:hint="default"/>
      </w:rPr>
    </w:lvl>
    <w:lvl w:ilvl="8" w:tplc="172C5476" w:tentative="1">
      <w:start w:val="1"/>
      <w:numFmt w:val="bullet"/>
      <w:lvlText w:val=""/>
      <w:lvlJc w:val="left"/>
      <w:pPr>
        <w:tabs>
          <w:tab w:val="num" w:pos="6120"/>
        </w:tabs>
        <w:ind w:left="6120" w:hanging="360"/>
      </w:pPr>
      <w:rPr>
        <w:rFonts w:ascii="Wingdings" w:hAnsi="Wingdings" w:hint="default"/>
      </w:rPr>
    </w:lvl>
  </w:abstractNum>
  <w:abstractNum w:abstractNumId="13">
    <w:nsid w:val="3BE20248"/>
    <w:multiLevelType w:val="singleLevel"/>
    <w:tmpl w:val="5348521A"/>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14">
    <w:nsid w:val="4121610F"/>
    <w:multiLevelType w:val="hybridMultilevel"/>
    <w:tmpl w:val="ABB6FE0C"/>
    <w:lvl w:ilvl="0" w:tplc="8B666628">
      <w:numFmt w:val="bullet"/>
      <w:lvlText w:val="-"/>
      <w:lvlJc w:val="left"/>
      <w:pPr>
        <w:ind w:left="1068" w:hanging="360"/>
      </w:pPr>
      <w:rPr>
        <w:rFonts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nsid w:val="4C3A13D2"/>
    <w:multiLevelType w:val="multilevel"/>
    <w:tmpl w:val="0C4C447A"/>
    <w:lvl w:ilvl="0">
      <w:start w:val="1"/>
      <w:numFmt w:val="none"/>
      <w:pStyle w:val="Ttulo"/>
      <w:suff w:val="space"/>
      <w:lvlText w:val=""/>
      <w:lvlJc w:val="left"/>
      <w:pPr>
        <w:ind w:left="432" w:hanging="432"/>
      </w:pPr>
      <w:rPr>
        <w:rFonts w:hint="default"/>
      </w:rPr>
    </w:lvl>
    <w:lvl w:ilvl="1">
      <w:start w:val="1"/>
      <w:numFmt w:val="none"/>
      <w:suff w:val="space"/>
      <w:lvlText w:val="%2%1"/>
      <w:lvlJc w:val="left"/>
      <w:pPr>
        <w:ind w:left="576" w:hanging="576"/>
      </w:pPr>
      <w:rPr>
        <w:rFonts w:hint="default"/>
      </w:rPr>
    </w:lvl>
    <w:lvl w:ilvl="2">
      <w:start w:val="1"/>
      <w:numFmt w:val="upperLetter"/>
      <w:suff w:val="space"/>
      <w:lvlText w:val="%1%3"/>
      <w:lvlJc w:val="left"/>
      <w:pPr>
        <w:ind w:left="720" w:hanging="72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8B7271A"/>
    <w:multiLevelType w:val="singleLevel"/>
    <w:tmpl w:val="8B28F55C"/>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17">
    <w:nsid w:val="59DE7286"/>
    <w:multiLevelType w:val="hybridMultilevel"/>
    <w:tmpl w:val="BAF0F7DA"/>
    <w:lvl w:ilvl="0" w:tplc="93385A9E">
      <w:start w:val="1"/>
      <w:numFmt w:val="bullet"/>
      <w:lvlText w:val="-"/>
      <w:lvlJc w:val="left"/>
      <w:pPr>
        <w:ind w:left="720" w:hanging="360"/>
      </w:pPr>
      <w:rPr>
        <w:rFonts w:ascii="Century Gothic" w:eastAsia="SimSun" w:hAnsi="Century Gothic" w:cs="Arial,Bold"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C951BBE"/>
    <w:multiLevelType w:val="hybridMultilevel"/>
    <w:tmpl w:val="0D909708"/>
    <w:lvl w:ilvl="0" w:tplc="73783CB6">
      <w:start w:val="1"/>
      <w:numFmt w:val="bullet"/>
      <w:lvlText w:val=""/>
      <w:lvlJc w:val="left"/>
      <w:pPr>
        <w:tabs>
          <w:tab w:val="num" w:pos="0"/>
        </w:tabs>
        <w:ind w:left="0" w:firstLine="0"/>
      </w:pPr>
      <w:rPr>
        <w:rFonts w:ascii="Symbol" w:hAnsi="Symbol" w:hint="default"/>
      </w:rPr>
    </w:lvl>
    <w:lvl w:ilvl="1" w:tplc="67D0F3EE">
      <w:start w:val="1"/>
      <w:numFmt w:val="bullet"/>
      <w:lvlText w:val="o"/>
      <w:lvlJc w:val="left"/>
      <w:pPr>
        <w:tabs>
          <w:tab w:val="num" w:pos="1440"/>
        </w:tabs>
        <w:ind w:left="1440" w:hanging="360"/>
      </w:pPr>
      <w:rPr>
        <w:rFonts w:ascii="Courier New" w:hAnsi="Courier New" w:cs="Courier New" w:hint="default"/>
      </w:rPr>
    </w:lvl>
    <w:lvl w:ilvl="2" w:tplc="78746ED0" w:tentative="1">
      <w:start w:val="1"/>
      <w:numFmt w:val="bullet"/>
      <w:lvlText w:val=""/>
      <w:lvlJc w:val="left"/>
      <w:pPr>
        <w:tabs>
          <w:tab w:val="num" w:pos="2160"/>
        </w:tabs>
        <w:ind w:left="2160" w:hanging="360"/>
      </w:pPr>
      <w:rPr>
        <w:rFonts w:ascii="Wingdings" w:hAnsi="Wingdings" w:hint="default"/>
      </w:rPr>
    </w:lvl>
    <w:lvl w:ilvl="3" w:tplc="B78E68A0" w:tentative="1">
      <w:start w:val="1"/>
      <w:numFmt w:val="bullet"/>
      <w:lvlText w:val=""/>
      <w:lvlJc w:val="left"/>
      <w:pPr>
        <w:tabs>
          <w:tab w:val="num" w:pos="2880"/>
        </w:tabs>
        <w:ind w:left="2880" w:hanging="360"/>
      </w:pPr>
      <w:rPr>
        <w:rFonts w:ascii="Symbol" w:hAnsi="Symbol" w:hint="default"/>
      </w:rPr>
    </w:lvl>
    <w:lvl w:ilvl="4" w:tplc="600AB986" w:tentative="1">
      <w:start w:val="1"/>
      <w:numFmt w:val="bullet"/>
      <w:lvlText w:val="o"/>
      <w:lvlJc w:val="left"/>
      <w:pPr>
        <w:tabs>
          <w:tab w:val="num" w:pos="3600"/>
        </w:tabs>
        <w:ind w:left="3600" w:hanging="360"/>
      </w:pPr>
      <w:rPr>
        <w:rFonts w:ascii="Courier New" w:hAnsi="Courier New" w:cs="Courier New" w:hint="default"/>
      </w:rPr>
    </w:lvl>
    <w:lvl w:ilvl="5" w:tplc="FEE2F140" w:tentative="1">
      <w:start w:val="1"/>
      <w:numFmt w:val="bullet"/>
      <w:lvlText w:val=""/>
      <w:lvlJc w:val="left"/>
      <w:pPr>
        <w:tabs>
          <w:tab w:val="num" w:pos="4320"/>
        </w:tabs>
        <w:ind w:left="4320" w:hanging="360"/>
      </w:pPr>
      <w:rPr>
        <w:rFonts w:ascii="Wingdings" w:hAnsi="Wingdings" w:hint="default"/>
      </w:rPr>
    </w:lvl>
    <w:lvl w:ilvl="6" w:tplc="D6CA9344" w:tentative="1">
      <w:start w:val="1"/>
      <w:numFmt w:val="bullet"/>
      <w:lvlText w:val=""/>
      <w:lvlJc w:val="left"/>
      <w:pPr>
        <w:tabs>
          <w:tab w:val="num" w:pos="5040"/>
        </w:tabs>
        <w:ind w:left="5040" w:hanging="360"/>
      </w:pPr>
      <w:rPr>
        <w:rFonts w:ascii="Symbol" w:hAnsi="Symbol" w:hint="default"/>
      </w:rPr>
    </w:lvl>
    <w:lvl w:ilvl="7" w:tplc="291A0DAE" w:tentative="1">
      <w:start w:val="1"/>
      <w:numFmt w:val="bullet"/>
      <w:lvlText w:val="o"/>
      <w:lvlJc w:val="left"/>
      <w:pPr>
        <w:tabs>
          <w:tab w:val="num" w:pos="5760"/>
        </w:tabs>
        <w:ind w:left="5760" w:hanging="360"/>
      </w:pPr>
      <w:rPr>
        <w:rFonts w:ascii="Courier New" w:hAnsi="Courier New" w:cs="Courier New" w:hint="default"/>
      </w:rPr>
    </w:lvl>
    <w:lvl w:ilvl="8" w:tplc="2F461940" w:tentative="1">
      <w:start w:val="1"/>
      <w:numFmt w:val="bullet"/>
      <w:lvlText w:val=""/>
      <w:lvlJc w:val="left"/>
      <w:pPr>
        <w:tabs>
          <w:tab w:val="num" w:pos="6480"/>
        </w:tabs>
        <w:ind w:left="6480" w:hanging="360"/>
      </w:pPr>
      <w:rPr>
        <w:rFonts w:ascii="Wingdings" w:hAnsi="Wingdings" w:hint="default"/>
      </w:rPr>
    </w:lvl>
  </w:abstractNum>
  <w:abstractNum w:abstractNumId="19">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20">
    <w:nsid w:val="619A22CA"/>
    <w:multiLevelType w:val="singleLevel"/>
    <w:tmpl w:val="A90A732C"/>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21">
    <w:nsid w:val="772A4D0E"/>
    <w:multiLevelType w:val="hybridMultilevel"/>
    <w:tmpl w:val="997EE7E6"/>
    <w:lvl w:ilvl="0" w:tplc="0C0A0001">
      <w:start w:val="1"/>
      <w:numFmt w:val="bullet"/>
      <w:lvlText w:val=""/>
      <w:lvlJc w:val="left"/>
      <w:pPr>
        <w:ind w:left="1429" w:hanging="360"/>
      </w:pPr>
      <w:rPr>
        <w:rFonts w:ascii="Symbol" w:hAnsi="Symbol" w:hint="default"/>
        <w:b/>
        <w:i w:val="0"/>
        <w:sz w:val="18"/>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2">
    <w:nsid w:val="78187B42"/>
    <w:multiLevelType w:val="hybridMultilevel"/>
    <w:tmpl w:val="4E36FD0C"/>
    <w:lvl w:ilvl="0" w:tplc="0C0A0017">
      <w:start w:val="1"/>
      <w:numFmt w:val="lowerLetter"/>
      <w:lvlText w:val="%1)"/>
      <w:lvlJc w:val="left"/>
      <w:pPr>
        <w:tabs>
          <w:tab w:val="num" w:pos="1068"/>
        </w:tabs>
        <w:ind w:left="1068" w:hanging="360"/>
      </w:pPr>
      <w:rPr>
        <w:rFonts w:hint="default"/>
      </w:rPr>
    </w:lvl>
    <w:lvl w:ilvl="1" w:tplc="035AD522" w:tentative="1">
      <w:start w:val="1"/>
      <w:numFmt w:val="bullet"/>
      <w:lvlText w:val="o"/>
      <w:lvlJc w:val="left"/>
      <w:pPr>
        <w:tabs>
          <w:tab w:val="num" w:pos="2148"/>
        </w:tabs>
        <w:ind w:left="2148" w:hanging="360"/>
      </w:pPr>
      <w:rPr>
        <w:rFonts w:ascii="Courier New" w:hAnsi="Courier New" w:cs="Courier New" w:hint="default"/>
      </w:rPr>
    </w:lvl>
    <w:lvl w:ilvl="2" w:tplc="1B6AFBEE" w:tentative="1">
      <w:start w:val="1"/>
      <w:numFmt w:val="bullet"/>
      <w:lvlText w:val=""/>
      <w:lvlJc w:val="left"/>
      <w:pPr>
        <w:tabs>
          <w:tab w:val="num" w:pos="2868"/>
        </w:tabs>
        <w:ind w:left="2868" w:hanging="360"/>
      </w:pPr>
      <w:rPr>
        <w:rFonts w:ascii="Wingdings" w:hAnsi="Wingdings" w:hint="default"/>
      </w:rPr>
    </w:lvl>
    <w:lvl w:ilvl="3" w:tplc="9CD05A1C" w:tentative="1">
      <w:start w:val="1"/>
      <w:numFmt w:val="bullet"/>
      <w:lvlText w:val=""/>
      <w:lvlJc w:val="left"/>
      <w:pPr>
        <w:tabs>
          <w:tab w:val="num" w:pos="3588"/>
        </w:tabs>
        <w:ind w:left="3588" w:hanging="360"/>
      </w:pPr>
      <w:rPr>
        <w:rFonts w:ascii="Symbol" w:hAnsi="Symbol" w:hint="default"/>
      </w:rPr>
    </w:lvl>
    <w:lvl w:ilvl="4" w:tplc="5F2C86B0" w:tentative="1">
      <w:start w:val="1"/>
      <w:numFmt w:val="bullet"/>
      <w:lvlText w:val="o"/>
      <w:lvlJc w:val="left"/>
      <w:pPr>
        <w:tabs>
          <w:tab w:val="num" w:pos="4308"/>
        </w:tabs>
        <w:ind w:left="4308" w:hanging="360"/>
      </w:pPr>
      <w:rPr>
        <w:rFonts w:ascii="Courier New" w:hAnsi="Courier New" w:cs="Courier New" w:hint="default"/>
      </w:rPr>
    </w:lvl>
    <w:lvl w:ilvl="5" w:tplc="8F2ACA32" w:tentative="1">
      <w:start w:val="1"/>
      <w:numFmt w:val="bullet"/>
      <w:lvlText w:val=""/>
      <w:lvlJc w:val="left"/>
      <w:pPr>
        <w:tabs>
          <w:tab w:val="num" w:pos="5028"/>
        </w:tabs>
        <w:ind w:left="5028" w:hanging="360"/>
      </w:pPr>
      <w:rPr>
        <w:rFonts w:ascii="Wingdings" w:hAnsi="Wingdings" w:hint="default"/>
      </w:rPr>
    </w:lvl>
    <w:lvl w:ilvl="6" w:tplc="8096671A" w:tentative="1">
      <w:start w:val="1"/>
      <w:numFmt w:val="bullet"/>
      <w:lvlText w:val=""/>
      <w:lvlJc w:val="left"/>
      <w:pPr>
        <w:tabs>
          <w:tab w:val="num" w:pos="5748"/>
        </w:tabs>
        <w:ind w:left="5748" w:hanging="360"/>
      </w:pPr>
      <w:rPr>
        <w:rFonts w:ascii="Symbol" w:hAnsi="Symbol" w:hint="default"/>
      </w:rPr>
    </w:lvl>
    <w:lvl w:ilvl="7" w:tplc="CEC28F46" w:tentative="1">
      <w:start w:val="1"/>
      <w:numFmt w:val="bullet"/>
      <w:lvlText w:val="o"/>
      <w:lvlJc w:val="left"/>
      <w:pPr>
        <w:tabs>
          <w:tab w:val="num" w:pos="6468"/>
        </w:tabs>
        <w:ind w:left="6468" w:hanging="360"/>
      </w:pPr>
      <w:rPr>
        <w:rFonts w:ascii="Courier New" w:hAnsi="Courier New" w:cs="Courier New" w:hint="default"/>
      </w:rPr>
    </w:lvl>
    <w:lvl w:ilvl="8" w:tplc="F9389740" w:tentative="1">
      <w:start w:val="1"/>
      <w:numFmt w:val="bullet"/>
      <w:lvlText w:val=""/>
      <w:lvlJc w:val="left"/>
      <w:pPr>
        <w:tabs>
          <w:tab w:val="num" w:pos="7188"/>
        </w:tabs>
        <w:ind w:left="7188" w:hanging="360"/>
      </w:pPr>
      <w:rPr>
        <w:rFonts w:ascii="Wingdings" w:hAnsi="Wingdings" w:hint="default"/>
      </w:rPr>
    </w:lvl>
  </w:abstractNum>
  <w:abstractNum w:abstractNumId="23">
    <w:nsid w:val="7A0D29AC"/>
    <w:multiLevelType w:val="hybridMultilevel"/>
    <w:tmpl w:val="BC186B6A"/>
    <w:lvl w:ilvl="0" w:tplc="6B609A2E">
      <w:start w:val="1"/>
      <w:numFmt w:val="bullet"/>
      <w:lvlText w:val=""/>
      <w:lvlJc w:val="left"/>
      <w:pPr>
        <w:tabs>
          <w:tab w:val="num" w:pos="1068"/>
        </w:tabs>
        <w:ind w:left="1068" w:hanging="360"/>
      </w:pPr>
      <w:rPr>
        <w:rFonts w:ascii="Symbol" w:hAnsi="Symbol" w:hint="default"/>
      </w:rPr>
    </w:lvl>
    <w:lvl w:ilvl="1" w:tplc="4300E25A" w:tentative="1">
      <w:start w:val="1"/>
      <w:numFmt w:val="bullet"/>
      <w:lvlText w:val="o"/>
      <w:lvlJc w:val="left"/>
      <w:pPr>
        <w:tabs>
          <w:tab w:val="num" w:pos="2148"/>
        </w:tabs>
        <w:ind w:left="2148" w:hanging="360"/>
      </w:pPr>
      <w:rPr>
        <w:rFonts w:ascii="Courier New" w:hAnsi="Courier New" w:cs="Courier New" w:hint="default"/>
      </w:rPr>
    </w:lvl>
    <w:lvl w:ilvl="2" w:tplc="3B629CC0" w:tentative="1">
      <w:start w:val="1"/>
      <w:numFmt w:val="bullet"/>
      <w:lvlText w:val=""/>
      <w:lvlJc w:val="left"/>
      <w:pPr>
        <w:tabs>
          <w:tab w:val="num" w:pos="2868"/>
        </w:tabs>
        <w:ind w:left="2868" w:hanging="360"/>
      </w:pPr>
      <w:rPr>
        <w:rFonts w:ascii="Wingdings" w:hAnsi="Wingdings" w:hint="default"/>
      </w:rPr>
    </w:lvl>
    <w:lvl w:ilvl="3" w:tplc="1D20A542" w:tentative="1">
      <w:start w:val="1"/>
      <w:numFmt w:val="bullet"/>
      <w:lvlText w:val=""/>
      <w:lvlJc w:val="left"/>
      <w:pPr>
        <w:tabs>
          <w:tab w:val="num" w:pos="3588"/>
        </w:tabs>
        <w:ind w:left="3588" w:hanging="360"/>
      </w:pPr>
      <w:rPr>
        <w:rFonts w:ascii="Symbol" w:hAnsi="Symbol" w:hint="default"/>
      </w:rPr>
    </w:lvl>
    <w:lvl w:ilvl="4" w:tplc="69126EF0" w:tentative="1">
      <w:start w:val="1"/>
      <w:numFmt w:val="bullet"/>
      <w:lvlText w:val="o"/>
      <w:lvlJc w:val="left"/>
      <w:pPr>
        <w:tabs>
          <w:tab w:val="num" w:pos="4308"/>
        </w:tabs>
        <w:ind w:left="4308" w:hanging="360"/>
      </w:pPr>
      <w:rPr>
        <w:rFonts w:ascii="Courier New" w:hAnsi="Courier New" w:cs="Courier New" w:hint="default"/>
      </w:rPr>
    </w:lvl>
    <w:lvl w:ilvl="5" w:tplc="64741A5E" w:tentative="1">
      <w:start w:val="1"/>
      <w:numFmt w:val="bullet"/>
      <w:lvlText w:val=""/>
      <w:lvlJc w:val="left"/>
      <w:pPr>
        <w:tabs>
          <w:tab w:val="num" w:pos="5028"/>
        </w:tabs>
        <w:ind w:left="5028" w:hanging="360"/>
      </w:pPr>
      <w:rPr>
        <w:rFonts w:ascii="Wingdings" w:hAnsi="Wingdings" w:hint="default"/>
      </w:rPr>
    </w:lvl>
    <w:lvl w:ilvl="6" w:tplc="F1E48196" w:tentative="1">
      <w:start w:val="1"/>
      <w:numFmt w:val="bullet"/>
      <w:lvlText w:val=""/>
      <w:lvlJc w:val="left"/>
      <w:pPr>
        <w:tabs>
          <w:tab w:val="num" w:pos="5748"/>
        </w:tabs>
        <w:ind w:left="5748" w:hanging="360"/>
      </w:pPr>
      <w:rPr>
        <w:rFonts w:ascii="Symbol" w:hAnsi="Symbol" w:hint="default"/>
      </w:rPr>
    </w:lvl>
    <w:lvl w:ilvl="7" w:tplc="CDD042C4" w:tentative="1">
      <w:start w:val="1"/>
      <w:numFmt w:val="bullet"/>
      <w:lvlText w:val="o"/>
      <w:lvlJc w:val="left"/>
      <w:pPr>
        <w:tabs>
          <w:tab w:val="num" w:pos="6468"/>
        </w:tabs>
        <w:ind w:left="6468" w:hanging="360"/>
      </w:pPr>
      <w:rPr>
        <w:rFonts w:ascii="Courier New" w:hAnsi="Courier New" w:cs="Courier New" w:hint="default"/>
      </w:rPr>
    </w:lvl>
    <w:lvl w:ilvl="8" w:tplc="BC86FD0A" w:tentative="1">
      <w:start w:val="1"/>
      <w:numFmt w:val="bullet"/>
      <w:lvlText w:val=""/>
      <w:lvlJc w:val="left"/>
      <w:pPr>
        <w:tabs>
          <w:tab w:val="num" w:pos="7188"/>
        </w:tabs>
        <w:ind w:left="7188" w:hanging="360"/>
      </w:pPr>
      <w:rPr>
        <w:rFonts w:ascii="Wingdings" w:hAnsi="Wingdings" w:hint="default"/>
      </w:rPr>
    </w:lvl>
  </w:abstractNum>
  <w:abstractNum w:abstractNumId="24">
    <w:nsid w:val="7BDB4A02"/>
    <w:multiLevelType w:val="hybridMultilevel"/>
    <w:tmpl w:val="F28EBB0E"/>
    <w:lvl w:ilvl="0" w:tplc="451484CC">
      <w:start w:val="3"/>
      <w:numFmt w:val="bullet"/>
      <w:lvlText w:val="-"/>
      <w:lvlJc w:val="left"/>
      <w:pPr>
        <w:ind w:left="1429" w:hanging="360"/>
      </w:pPr>
      <w:rPr>
        <w:rFonts w:ascii="Century Gothic" w:eastAsia="Times New Roman" w:hAnsi="Century Gothic"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5">
    <w:nsid w:val="7C784CD2"/>
    <w:multiLevelType w:val="singleLevel"/>
    <w:tmpl w:val="C9A09F8A"/>
    <w:lvl w:ilvl="0">
      <w:start w:val="1"/>
      <w:numFmt w:val="bullet"/>
      <w:lvlText w:val="·"/>
      <w:lvlJc w:val="left"/>
      <w:pPr>
        <w:tabs>
          <w:tab w:val="left" w:pos="130"/>
          <w:tab w:val="left" w:pos="142"/>
        </w:tabs>
        <w:ind w:left="142" w:hanging="142"/>
      </w:pPr>
      <w:rPr>
        <w:rFonts w:ascii="Symbol" w:hAnsi="Symbol" w:hint="default"/>
        <w:sz w:val="16"/>
      </w:rPr>
    </w:lvl>
  </w:abstractNum>
  <w:num w:numId="1">
    <w:abstractNumId w:val="15"/>
  </w:num>
  <w:num w:numId="2">
    <w:abstractNumId w:val="4"/>
  </w:num>
  <w:num w:numId="3">
    <w:abstractNumId w:val="2"/>
  </w:num>
  <w:num w:numId="4">
    <w:abstractNumId w:val="19"/>
  </w:num>
  <w:num w:numId="5">
    <w:abstractNumId w:val="18"/>
  </w:num>
  <w:num w:numId="6">
    <w:abstractNumId w:val="23"/>
  </w:num>
  <w:num w:numId="7">
    <w:abstractNumId w:val="1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2"/>
  </w:num>
  <w:num w:numId="15">
    <w:abstractNumId w:val="5"/>
  </w:num>
  <w:num w:numId="16">
    <w:abstractNumId w:val="11"/>
  </w:num>
  <w:num w:numId="17">
    <w:abstractNumId w:val="9"/>
  </w:num>
  <w:num w:numId="18">
    <w:abstractNumId w:val="3"/>
  </w:num>
  <w:num w:numId="19">
    <w:abstractNumId w:val="4"/>
  </w:num>
  <w:num w:numId="20">
    <w:abstractNumId w:val="4"/>
  </w:num>
  <w:num w:numId="21">
    <w:abstractNumId w:val="4"/>
  </w:num>
  <w:num w:numId="22">
    <w:abstractNumId w:val="2"/>
  </w:num>
  <w:num w:numId="23">
    <w:abstractNumId w:val="2"/>
  </w:num>
  <w:num w:numId="24">
    <w:abstractNumId w:val="2"/>
  </w:num>
  <w:num w:numId="25">
    <w:abstractNumId w:val="2"/>
  </w:num>
  <w:num w:numId="26">
    <w:abstractNumId w:val="2"/>
  </w:num>
  <w:num w:numId="27">
    <w:abstractNumId w:val="17"/>
  </w:num>
  <w:num w:numId="28">
    <w:abstractNumId w:val="21"/>
  </w:num>
  <w:num w:numId="29">
    <w:abstractNumId w:val="1"/>
  </w:num>
  <w:num w:numId="30">
    <w:abstractNumId w:val="0"/>
  </w:num>
  <w:num w:numId="31">
    <w:abstractNumId w:val="20"/>
  </w:num>
  <w:num w:numId="32">
    <w:abstractNumId w:val="25"/>
  </w:num>
  <w:num w:numId="33">
    <w:abstractNumId w:val="6"/>
  </w:num>
  <w:num w:numId="34">
    <w:abstractNumId w:val="16"/>
  </w:num>
  <w:num w:numId="35">
    <w:abstractNumId w:val="10"/>
  </w:num>
  <w:num w:numId="36">
    <w:abstractNumId w:val="13"/>
  </w:num>
  <w:num w:numId="37">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ctiveWritingStyle w:appName="MSWord" w:lang="es-ES_tradnl" w:vendorID="9" w:dllVersion="512" w:checkStyle="1"/>
  <w:activeWritingStyle w:appName="MSWord" w:lang="es-ES" w:vendorID="9" w:dllVersion="512" w:checkStyle="1"/>
  <w:attachedTemplate r:id="rId1"/>
  <w:stylePaneFormatFilter w:val="3F0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82"/>
  </w:hdrShapeDefaults>
  <w:footnotePr>
    <w:footnote w:id="-1"/>
    <w:footnote w:id="0"/>
  </w:footnotePr>
  <w:endnotePr>
    <w:endnote w:id="-1"/>
    <w:endnote w:id="0"/>
  </w:endnotePr>
  <w:compat/>
  <w:docVars>
    <w:docVar w:name="IPSpeechSession$" w:val="FALSE"/>
    <w:docVar w:name="IPSpeechSessionSaved$" w:val="FALSE"/>
    <w:docVar w:name="macroFlags" w:val="NNNN"/>
    <w:docVar w:name="VTDictating" w:val="FALSE"/>
    <w:docVar w:name="VTypeCAPFlag$" w:val="TRUE"/>
    <w:docVar w:name="VTypeJoinDigitFlag$" w:val="TRUE"/>
    <w:docVar w:name="VTypeLCFlag$" w:val="FALSE"/>
    <w:docVar w:name="VTypeNoSpaceFlag$" w:val="FALSE"/>
    <w:docVar w:name="VTypeUCFlag$" w:val="FALSE"/>
  </w:docVars>
  <w:rsids>
    <w:rsidRoot w:val="00FA27F6"/>
    <w:rsid w:val="00004CAB"/>
    <w:rsid w:val="00006F0D"/>
    <w:rsid w:val="000076C8"/>
    <w:rsid w:val="000111AE"/>
    <w:rsid w:val="00014B21"/>
    <w:rsid w:val="00015F21"/>
    <w:rsid w:val="00016010"/>
    <w:rsid w:val="00020851"/>
    <w:rsid w:val="00022E90"/>
    <w:rsid w:val="00023BF1"/>
    <w:rsid w:val="00024A4C"/>
    <w:rsid w:val="00026F44"/>
    <w:rsid w:val="00032123"/>
    <w:rsid w:val="000358FF"/>
    <w:rsid w:val="00036ACD"/>
    <w:rsid w:val="000400CB"/>
    <w:rsid w:val="00041A61"/>
    <w:rsid w:val="0004444C"/>
    <w:rsid w:val="00045287"/>
    <w:rsid w:val="0004719D"/>
    <w:rsid w:val="00047710"/>
    <w:rsid w:val="00047AA7"/>
    <w:rsid w:val="000504C3"/>
    <w:rsid w:val="000578B5"/>
    <w:rsid w:val="00057B86"/>
    <w:rsid w:val="00060F2C"/>
    <w:rsid w:val="00067C14"/>
    <w:rsid w:val="00067FAA"/>
    <w:rsid w:val="000722CA"/>
    <w:rsid w:val="0007291A"/>
    <w:rsid w:val="0007366B"/>
    <w:rsid w:val="000737B3"/>
    <w:rsid w:val="000747B3"/>
    <w:rsid w:val="0007537C"/>
    <w:rsid w:val="000770DA"/>
    <w:rsid w:val="0008156B"/>
    <w:rsid w:val="00081D6E"/>
    <w:rsid w:val="0008357E"/>
    <w:rsid w:val="000838FB"/>
    <w:rsid w:val="0008517A"/>
    <w:rsid w:val="00086E2F"/>
    <w:rsid w:val="00087001"/>
    <w:rsid w:val="00087DFC"/>
    <w:rsid w:val="00091A60"/>
    <w:rsid w:val="0009358D"/>
    <w:rsid w:val="000959F3"/>
    <w:rsid w:val="00096F75"/>
    <w:rsid w:val="000A09C2"/>
    <w:rsid w:val="000A5852"/>
    <w:rsid w:val="000A5EE5"/>
    <w:rsid w:val="000A64C4"/>
    <w:rsid w:val="000B10FB"/>
    <w:rsid w:val="000B2D5C"/>
    <w:rsid w:val="000B3516"/>
    <w:rsid w:val="000B4173"/>
    <w:rsid w:val="000C1636"/>
    <w:rsid w:val="000C233B"/>
    <w:rsid w:val="000C3F74"/>
    <w:rsid w:val="000D08CA"/>
    <w:rsid w:val="000D1ECE"/>
    <w:rsid w:val="000D3614"/>
    <w:rsid w:val="000D69FA"/>
    <w:rsid w:val="000D7398"/>
    <w:rsid w:val="000E051A"/>
    <w:rsid w:val="000E05F0"/>
    <w:rsid w:val="000E24F6"/>
    <w:rsid w:val="000E3546"/>
    <w:rsid w:val="000E4CD7"/>
    <w:rsid w:val="000E6F30"/>
    <w:rsid w:val="000F2D45"/>
    <w:rsid w:val="000F4A1F"/>
    <w:rsid w:val="000F4D8C"/>
    <w:rsid w:val="000F6589"/>
    <w:rsid w:val="000F731E"/>
    <w:rsid w:val="000F7B55"/>
    <w:rsid w:val="000F7DB3"/>
    <w:rsid w:val="0010022D"/>
    <w:rsid w:val="0010030B"/>
    <w:rsid w:val="0010201E"/>
    <w:rsid w:val="00102C4B"/>
    <w:rsid w:val="00104300"/>
    <w:rsid w:val="00105F93"/>
    <w:rsid w:val="00111560"/>
    <w:rsid w:val="0011170C"/>
    <w:rsid w:val="00117234"/>
    <w:rsid w:val="00124CE2"/>
    <w:rsid w:val="00124FA3"/>
    <w:rsid w:val="0013139F"/>
    <w:rsid w:val="0013154A"/>
    <w:rsid w:val="0013376B"/>
    <w:rsid w:val="00134453"/>
    <w:rsid w:val="0013527C"/>
    <w:rsid w:val="00135B26"/>
    <w:rsid w:val="00135B2C"/>
    <w:rsid w:val="001368C6"/>
    <w:rsid w:val="00136CF4"/>
    <w:rsid w:val="001378F3"/>
    <w:rsid w:val="00140296"/>
    <w:rsid w:val="0014322E"/>
    <w:rsid w:val="00143A77"/>
    <w:rsid w:val="001441BB"/>
    <w:rsid w:val="00144AEB"/>
    <w:rsid w:val="0014582B"/>
    <w:rsid w:val="00145E15"/>
    <w:rsid w:val="00147E90"/>
    <w:rsid w:val="0015089C"/>
    <w:rsid w:val="001519B8"/>
    <w:rsid w:val="00152647"/>
    <w:rsid w:val="001540BF"/>
    <w:rsid w:val="00157ADF"/>
    <w:rsid w:val="00157EE6"/>
    <w:rsid w:val="001606A3"/>
    <w:rsid w:val="00160DF3"/>
    <w:rsid w:val="00161258"/>
    <w:rsid w:val="0016305F"/>
    <w:rsid w:val="00163B24"/>
    <w:rsid w:val="00165708"/>
    <w:rsid w:val="00167D19"/>
    <w:rsid w:val="001703F2"/>
    <w:rsid w:val="00172D9A"/>
    <w:rsid w:val="0017362A"/>
    <w:rsid w:val="001744E2"/>
    <w:rsid w:val="00174C80"/>
    <w:rsid w:val="00175798"/>
    <w:rsid w:val="00177127"/>
    <w:rsid w:val="001839D5"/>
    <w:rsid w:val="00184C2B"/>
    <w:rsid w:val="001856D7"/>
    <w:rsid w:val="001861E0"/>
    <w:rsid w:val="001900AA"/>
    <w:rsid w:val="001902F2"/>
    <w:rsid w:val="00190C75"/>
    <w:rsid w:val="00192C34"/>
    <w:rsid w:val="00193DA0"/>
    <w:rsid w:val="00194AFC"/>
    <w:rsid w:val="00195629"/>
    <w:rsid w:val="00196827"/>
    <w:rsid w:val="0019682E"/>
    <w:rsid w:val="0019743F"/>
    <w:rsid w:val="001A3C16"/>
    <w:rsid w:val="001A401D"/>
    <w:rsid w:val="001A540A"/>
    <w:rsid w:val="001A57AE"/>
    <w:rsid w:val="001A5C24"/>
    <w:rsid w:val="001A5E84"/>
    <w:rsid w:val="001A62A9"/>
    <w:rsid w:val="001B3180"/>
    <w:rsid w:val="001B350F"/>
    <w:rsid w:val="001B42D7"/>
    <w:rsid w:val="001B49C5"/>
    <w:rsid w:val="001B4E55"/>
    <w:rsid w:val="001B50CA"/>
    <w:rsid w:val="001B76BD"/>
    <w:rsid w:val="001C01FC"/>
    <w:rsid w:val="001C0DD2"/>
    <w:rsid w:val="001C1105"/>
    <w:rsid w:val="001C1433"/>
    <w:rsid w:val="001C182A"/>
    <w:rsid w:val="001C528D"/>
    <w:rsid w:val="001C6452"/>
    <w:rsid w:val="001C7264"/>
    <w:rsid w:val="001D496A"/>
    <w:rsid w:val="001E0389"/>
    <w:rsid w:val="001E0E29"/>
    <w:rsid w:val="001E1C67"/>
    <w:rsid w:val="001E22A2"/>
    <w:rsid w:val="001E23A6"/>
    <w:rsid w:val="001E33CB"/>
    <w:rsid w:val="001E3F03"/>
    <w:rsid w:val="001E474B"/>
    <w:rsid w:val="001E4FC8"/>
    <w:rsid w:val="001E66DB"/>
    <w:rsid w:val="001F34AA"/>
    <w:rsid w:val="001F39D0"/>
    <w:rsid w:val="002040D1"/>
    <w:rsid w:val="00204339"/>
    <w:rsid w:val="00204FFE"/>
    <w:rsid w:val="002070B8"/>
    <w:rsid w:val="00211F97"/>
    <w:rsid w:val="002131E3"/>
    <w:rsid w:val="00213672"/>
    <w:rsid w:val="00214B9E"/>
    <w:rsid w:val="00214E9C"/>
    <w:rsid w:val="002176E4"/>
    <w:rsid w:val="00221B8F"/>
    <w:rsid w:val="00221D46"/>
    <w:rsid w:val="00222F35"/>
    <w:rsid w:val="002231B6"/>
    <w:rsid w:val="0022428E"/>
    <w:rsid w:val="0022490E"/>
    <w:rsid w:val="0022574E"/>
    <w:rsid w:val="00230C6F"/>
    <w:rsid w:val="00230D47"/>
    <w:rsid w:val="00232AF3"/>
    <w:rsid w:val="0023461A"/>
    <w:rsid w:val="00235E19"/>
    <w:rsid w:val="00236566"/>
    <w:rsid w:val="00236813"/>
    <w:rsid w:val="0023768C"/>
    <w:rsid w:val="00240B1D"/>
    <w:rsid w:val="002416A6"/>
    <w:rsid w:val="00241707"/>
    <w:rsid w:val="00241C28"/>
    <w:rsid w:val="002454C9"/>
    <w:rsid w:val="00246B01"/>
    <w:rsid w:val="00246CEA"/>
    <w:rsid w:val="00246EFA"/>
    <w:rsid w:val="002474E8"/>
    <w:rsid w:val="00251E4A"/>
    <w:rsid w:val="00251E84"/>
    <w:rsid w:val="002544B2"/>
    <w:rsid w:val="00254DE1"/>
    <w:rsid w:val="00255CE9"/>
    <w:rsid w:val="00257DDA"/>
    <w:rsid w:val="00260651"/>
    <w:rsid w:val="0026124F"/>
    <w:rsid w:val="002613D1"/>
    <w:rsid w:val="00261F8D"/>
    <w:rsid w:val="00262298"/>
    <w:rsid w:val="002636C3"/>
    <w:rsid w:val="002657E3"/>
    <w:rsid w:val="00267ADD"/>
    <w:rsid w:val="00267E5A"/>
    <w:rsid w:val="00272F08"/>
    <w:rsid w:val="00272FFD"/>
    <w:rsid w:val="00273171"/>
    <w:rsid w:val="0027414C"/>
    <w:rsid w:val="00274EFA"/>
    <w:rsid w:val="00275E2F"/>
    <w:rsid w:val="0028101A"/>
    <w:rsid w:val="002811CC"/>
    <w:rsid w:val="00281989"/>
    <w:rsid w:val="00282D5E"/>
    <w:rsid w:val="00282F1B"/>
    <w:rsid w:val="00284C77"/>
    <w:rsid w:val="002852CC"/>
    <w:rsid w:val="00285857"/>
    <w:rsid w:val="0028598F"/>
    <w:rsid w:val="00286703"/>
    <w:rsid w:val="002903E8"/>
    <w:rsid w:val="00296839"/>
    <w:rsid w:val="0029716A"/>
    <w:rsid w:val="0029777F"/>
    <w:rsid w:val="002A1A30"/>
    <w:rsid w:val="002A1E92"/>
    <w:rsid w:val="002A368C"/>
    <w:rsid w:val="002A3A00"/>
    <w:rsid w:val="002A3D32"/>
    <w:rsid w:val="002A59A9"/>
    <w:rsid w:val="002A60EF"/>
    <w:rsid w:val="002A6440"/>
    <w:rsid w:val="002B07C5"/>
    <w:rsid w:val="002B0F89"/>
    <w:rsid w:val="002B1533"/>
    <w:rsid w:val="002B1825"/>
    <w:rsid w:val="002B21C6"/>
    <w:rsid w:val="002B2C68"/>
    <w:rsid w:val="002B53D8"/>
    <w:rsid w:val="002C03CB"/>
    <w:rsid w:val="002C119C"/>
    <w:rsid w:val="002C38A0"/>
    <w:rsid w:val="002C3A20"/>
    <w:rsid w:val="002C55B3"/>
    <w:rsid w:val="002C5EB9"/>
    <w:rsid w:val="002C7971"/>
    <w:rsid w:val="002D1786"/>
    <w:rsid w:val="002D3C7B"/>
    <w:rsid w:val="002D3FAE"/>
    <w:rsid w:val="002D467F"/>
    <w:rsid w:val="002D7D19"/>
    <w:rsid w:val="002E2AE9"/>
    <w:rsid w:val="002E51D7"/>
    <w:rsid w:val="002E5E19"/>
    <w:rsid w:val="002E7443"/>
    <w:rsid w:val="002E7DE5"/>
    <w:rsid w:val="002E7F64"/>
    <w:rsid w:val="002F0EC6"/>
    <w:rsid w:val="002F2C95"/>
    <w:rsid w:val="002F2CDC"/>
    <w:rsid w:val="002F3865"/>
    <w:rsid w:val="002F3E5B"/>
    <w:rsid w:val="002F4096"/>
    <w:rsid w:val="002F729E"/>
    <w:rsid w:val="002F7858"/>
    <w:rsid w:val="00300033"/>
    <w:rsid w:val="0030091B"/>
    <w:rsid w:val="00305101"/>
    <w:rsid w:val="003059DB"/>
    <w:rsid w:val="00306CCA"/>
    <w:rsid w:val="003070F7"/>
    <w:rsid w:val="003076AA"/>
    <w:rsid w:val="00310E91"/>
    <w:rsid w:val="0031106C"/>
    <w:rsid w:val="00312377"/>
    <w:rsid w:val="0032097E"/>
    <w:rsid w:val="0032263A"/>
    <w:rsid w:val="00326B00"/>
    <w:rsid w:val="003278E1"/>
    <w:rsid w:val="00331334"/>
    <w:rsid w:val="00334BB6"/>
    <w:rsid w:val="00336735"/>
    <w:rsid w:val="00336F99"/>
    <w:rsid w:val="0034011A"/>
    <w:rsid w:val="00340C0A"/>
    <w:rsid w:val="00341C0F"/>
    <w:rsid w:val="00342CD1"/>
    <w:rsid w:val="0034424C"/>
    <w:rsid w:val="003452F9"/>
    <w:rsid w:val="003460E5"/>
    <w:rsid w:val="00347DBC"/>
    <w:rsid w:val="00351115"/>
    <w:rsid w:val="003539A7"/>
    <w:rsid w:val="003559AC"/>
    <w:rsid w:val="00355DFE"/>
    <w:rsid w:val="0035605D"/>
    <w:rsid w:val="00362F30"/>
    <w:rsid w:val="003641D9"/>
    <w:rsid w:val="0036464F"/>
    <w:rsid w:val="00364DD8"/>
    <w:rsid w:val="00366209"/>
    <w:rsid w:val="00366343"/>
    <w:rsid w:val="00367B47"/>
    <w:rsid w:val="003716A7"/>
    <w:rsid w:val="00376200"/>
    <w:rsid w:val="003768FF"/>
    <w:rsid w:val="003775C8"/>
    <w:rsid w:val="00380311"/>
    <w:rsid w:val="003807C7"/>
    <w:rsid w:val="00380C6B"/>
    <w:rsid w:val="003836DE"/>
    <w:rsid w:val="00383926"/>
    <w:rsid w:val="00384C64"/>
    <w:rsid w:val="003855DD"/>
    <w:rsid w:val="003857F6"/>
    <w:rsid w:val="00385C8C"/>
    <w:rsid w:val="00390197"/>
    <w:rsid w:val="00390CAB"/>
    <w:rsid w:val="00392168"/>
    <w:rsid w:val="00392B34"/>
    <w:rsid w:val="00393DCB"/>
    <w:rsid w:val="00394ECB"/>
    <w:rsid w:val="00395E87"/>
    <w:rsid w:val="003A159C"/>
    <w:rsid w:val="003A387B"/>
    <w:rsid w:val="003A516F"/>
    <w:rsid w:val="003A605C"/>
    <w:rsid w:val="003A7EB0"/>
    <w:rsid w:val="003B3BFA"/>
    <w:rsid w:val="003B4727"/>
    <w:rsid w:val="003B57DA"/>
    <w:rsid w:val="003B639C"/>
    <w:rsid w:val="003B68AD"/>
    <w:rsid w:val="003B7083"/>
    <w:rsid w:val="003C00B1"/>
    <w:rsid w:val="003C098F"/>
    <w:rsid w:val="003C1C38"/>
    <w:rsid w:val="003C2519"/>
    <w:rsid w:val="003C37AC"/>
    <w:rsid w:val="003C5082"/>
    <w:rsid w:val="003C534B"/>
    <w:rsid w:val="003C611E"/>
    <w:rsid w:val="003C6733"/>
    <w:rsid w:val="003D0B25"/>
    <w:rsid w:val="003D2213"/>
    <w:rsid w:val="003D3916"/>
    <w:rsid w:val="003D3AF5"/>
    <w:rsid w:val="003D3DAF"/>
    <w:rsid w:val="003D45F8"/>
    <w:rsid w:val="003D6123"/>
    <w:rsid w:val="003D61AF"/>
    <w:rsid w:val="003D6BE8"/>
    <w:rsid w:val="003D74C4"/>
    <w:rsid w:val="003D7A15"/>
    <w:rsid w:val="003E04A3"/>
    <w:rsid w:val="003E0506"/>
    <w:rsid w:val="003E1CC2"/>
    <w:rsid w:val="003E1CED"/>
    <w:rsid w:val="003E217D"/>
    <w:rsid w:val="003E3D5B"/>
    <w:rsid w:val="003E6EDA"/>
    <w:rsid w:val="003F1074"/>
    <w:rsid w:val="003F3343"/>
    <w:rsid w:val="003F3B6E"/>
    <w:rsid w:val="003F4BC7"/>
    <w:rsid w:val="003F4D59"/>
    <w:rsid w:val="003F5151"/>
    <w:rsid w:val="003F6B14"/>
    <w:rsid w:val="003F6D1E"/>
    <w:rsid w:val="003F7B6C"/>
    <w:rsid w:val="003F7E08"/>
    <w:rsid w:val="00401CA5"/>
    <w:rsid w:val="00405083"/>
    <w:rsid w:val="00405107"/>
    <w:rsid w:val="0040590A"/>
    <w:rsid w:val="00405AE7"/>
    <w:rsid w:val="00407654"/>
    <w:rsid w:val="00410B9C"/>
    <w:rsid w:val="004117D8"/>
    <w:rsid w:val="004123EA"/>
    <w:rsid w:val="00412534"/>
    <w:rsid w:val="00412BEC"/>
    <w:rsid w:val="0041544A"/>
    <w:rsid w:val="0041596E"/>
    <w:rsid w:val="004210AC"/>
    <w:rsid w:val="004210FD"/>
    <w:rsid w:val="00421377"/>
    <w:rsid w:val="0042200D"/>
    <w:rsid w:val="00424029"/>
    <w:rsid w:val="004255A9"/>
    <w:rsid w:val="00427325"/>
    <w:rsid w:val="00427B2D"/>
    <w:rsid w:val="00430DA5"/>
    <w:rsid w:val="004312C0"/>
    <w:rsid w:val="004322E8"/>
    <w:rsid w:val="0043332A"/>
    <w:rsid w:val="00433718"/>
    <w:rsid w:val="00433836"/>
    <w:rsid w:val="00436A27"/>
    <w:rsid w:val="004375B2"/>
    <w:rsid w:val="00437942"/>
    <w:rsid w:val="0044267E"/>
    <w:rsid w:val="00442EE4"/>
    <w:rsid w:val="0044339F"/>
    <w:rsid w:val="00443CA7"/>
    <w:rsid w:val="00445EB3"/>
    <w:rsid w:val="0045093F"/>
    <w:rsid w:val="00452456"/>
    <w:rsid w:val="00452F49"/>
    <w:rsid w:val="00456BF9"/>
    <w:rsid w:val="00460219"/>
    <w:rsid w:val="00460942"/>
    <w:rsid w:val="00463814"/>
    <w:rsid w:val="00463973"/>
    <w:rsid w:val="00463C65"/>
    <w:rsid w:val="00464724"/>
    <w:rsid w:val="00465367"/>
    <w:rsid w:val="0047009A"/>
    <w:rsid w:val="0047277C"/>
    <w:rsid w:val="00474160"/>
    <w:rsid w:val="00475403"/>
    <w:rsid w:val="004759DA"/>
    <w:rsid w:val="00476664"/>
    <w:rsid w:val="00476BB3"/>
    <w:rsid w:val="0047716A"/>
    <w:rsid w:val="0048095D"/>
    <w:rsid w:val="004819C2"/>
    <w:rsid w:val="00481FCD"/>
    <w:rsid w:val="00482284"/>
    <w:rsid w:val="00482383"/>
    <w:rsid w:val="00484823"/>
    <w:rsid w:val="00486E7D"/>
    <w:rsid w:val="00490F27"/>
    <w:rsid w:val="0049147A"/>
    <w:rsid w:val="0049413C"/>
    <w:rsid w:val="004A01EC"/>
    <w:rsid w:val="004A03CC"/>
    <w:rsid w:val="004A2DAE"/>
    <w:rsid w:val="004A3544"/>
    <w:rsid w:val="004A5163"/>
    <w:rsid w:val="004A6A6D"/>
    <w:rsid w:val="004B2BA6"/>
    <w:rsid w:val="004B2FD5"/>
    <w:rsid w:val="004B315A"/>
    <w:rsid w:val="004B3356"/>
    <w:rsid w:val="004B374B"/>
    <w:rsid w:val="004B6682"/>
    <w:rsid w:val="004B6F04"/>
    <w:rsid w:val="004B777E"/>
    <w:rsid w:val="004B7923"/>
    <w:rsid w:val="004C365E"/>
    <w:rsid w:val="004C49E1"/>
    <w:rsid w:val="004C7862"/>
    <w:rsid w:val="004D0B92"/>
    <w:rsid w:val="004D1A0E"/>
    <w:rsid w:val="004D31FE"/>
    <w:rsid w:val="004D431B"/>
    <w:rsid w:val="004D6ADD"/>
    <w:rsid w:val="004D702D"/>
    <w:rsid w:val="004E0AB0"/>
    <w:rsid w:val="004E26C1"/>
    <w:rsid w:val="004E35E3"/>
    <w:rsid w:val="004E3713"/>
    <w:rsid w:val="004E4A82"/>
    <w:rsid w:val="004E6270"/>
    <w:rsid w:val="004E722E"/>
    <w:rsid w:val="004E7DB2"/>
    <w:rsid w:val="004F2521"/>
    <w:rsid w:val="004F2572"/>
    <w:rsid w:val="004F583C"/>
    <w:rsid w:val="004F5BEE"/>
    <w:rsid w:val="004F6312"/>
    <w:rsid w:val="004F6608"/>
    <w:rsid w:val="0050016C"/>
    <w:rsid w:val="00502F74"/>
    <w:rsid w:val="0050406B"/>
    <w:rsid w:val="0050406E"/>
    <w:rsid w:val="00506086"/>
    <w:rsid w:val="00506694"/>
    <w:rsid w:val="00513385"/>
    <w:rsid w:val="0051368D"/>
    <w:rsid w:val="00513858"/>
    <w:rsid w:val="00516295"/>
    <w:rsid w:val="00516C41"/>
    <w:rsid w:val="005171F0"/>
    <w:rsid w:val="005174E5"/>
    <w:rsid w:val="005177F5"/>
    <w:rsid w:val="00520C81"/>
    <w:rsid w:val="00523FA3"/>
    <w:rsid w:val="0052411A"/>
    <w:rsid w:val="0052507F"/>
    <w:rsid w:val="005267BD"/>
    <w:rsid w:val="005315AD"/>
    <w:rsid w:val="005319F4"/>
    <w:rsid w:val="00531F9F"/>
    <w:rsid w:val="00534C98"/>
    <w:rsid w:val="00537773"/>
    <w:rsid w:val="00537917"/>
    <w:rsid w:val="0054025C"/>
    <w:rsid w:val="005405A2"/>
    <w:rsid w:val="00543481"/>
    <w:rsid w:val="005477F3"/>
    <w:rsid w:val="0054792B"/>
    <w:rsid w:val="005479B6"/>
    <w:rsid w:val="00551E2F"/>
    <w:rsid w:val="00552B8D"/>
    <w:rsid w:val="00554087"/>
    <w:rsid w:val="00554BA8"/>
    <w:rsid w:val="005570BB"/>
    <w:rsid w:val="0055792A"/>
    <w:rsid w:val="00557DA2"/>
    <w:rsid w:val="0056131F"/>
    <w:rsid w:val="00561406"/>
    <w:rsid w:val="00563843"/>
    <w:rsid w:val="00565262"/>
    <w:rsid w:val="00566C32"/>
    <w:rsid w:val="005677AA"/>
    <w:rsid w:val="00567C97"/>
    <w:rsid w:val="00570229"/>
    <w:rsid w:val="00573204"/>
    <w:rsid w:val="00573CD8"/>
    <w:rsid w:val="00575350"/>
    <w:rsid w:val="00575358"/>
    <w:rsid w:val="005801E3"/>
    <w:rsid w:val="00581811"/>
    <w:rsid w:val="0058217D"/>
    <w:rsid w:val="005823C4"/>
    <w:rsid w:val="005826B0"/>
    <w:rsid w:val="0058408E"/>
    <w:rsid w:val="005844FB"/>
    <w:rsid w:val="00585DB4"/>
    <w:rsid w:val="00586455"/>
    <w:rsid w:val="00591281"/>
    <w:rsid w:val="00591358"/>
    <w:rsid w:val="00591B4F"/>
    <w:rsid w:val="0059354D"/>
    <w:rsid w:val="00594100"/>
    <w:rsid w:val="00594755"/>
    <w:rsid w:val="00595D41"/>
    <w:rsid w:val="00597855"/>
    <w:rsid w:val="00597D8D"/>
    <w:rsid w:val="005A0331"/>
    <w:rsid w:val="005A0FB7"/>
    <w:rsid w:val="005A1405"/>
    <w:rsid w:val="005A201A"/>
    <w:rsid w:val="005A33B1"/>
    <w:rsid w:val="005A3C17"/>
    <w:rsid w:val="005A3DCC"/>
    <w:rsid w:val="005A41C6"/>
    <w:rsid w:val="005A7351"/>
    <w:rsid w:val="005A77E8"/>
    <w:rsid w:val="005B3CED"/>
    <w:rsid w:val="005B4E7A"/>
    <w:rsid w:val="005B56F1"/>
    <w:rsid w:val="005B7139"/>
    <w:rsid w:val="005B7238"/>
    <w:rsid w:val="005B7FC8"/>
    <w:rsid w:val="005C100A"/>
    <w:rsid w:val="005C1E06"/>
    <w:rsid w:val="005C244A"/>
    <w:rsid w:val="005C2849"/>
    <w:rsid w:val="005C3BBA"/>
    <w:rsid w:val="005C5891"/>
    <w:rsid w:val="005D2013"/>
    <w:rsid w:val="005D21EA"/>
    <w:rsid w:val="005D66F6"/>
    <w:rsid w:val="005E2631"/>
    <w:rsid w:val="005E3B81"/>
    <w:rsid w:val="005E4D23"/>
    <w:rsid w:val="005E4F12"/>
    <w:rsid w:val="005E65EF"/>
    <w:rsid w:val="005E65FC"/>
    <w:rsid w:val="005E7C41"/>
    <w:rsid w:val="005F2D89"/>
    <w:rsid w:val="005F3835"/>
    <w:rsid w:val="005F3ABD"/>
    <w:rsid w:val="005F4E2D"/>
    <w:rsid w:val="005F5068"/>
    <w:rsid w:val="005F5468"/>
    <w:rsid w:val="00601448"/>
    <w:rsid w:val="006034B9"/>
    <w:rsid w:val="00605CF4"/>
    <w:rsid w:val="00605E44"/>
    <w:rsid w:val="00607566"/>
    <w:rsid w:val="00611570"/>
    <w:rsid w:val="00616719"/>
    <w:rsid w:val="006176BF"/>
    <w:rsid w:val="0062053D"/>
    <w:rsid w:val="006223B9"/>
    <w:rsid w:val="00627347"/>
    <w:rsid w:val="00631D0E"/>
    <w:rsid w:val="00633B60"/>
    <w:rsid w:val="00634627"/>
    <w:rsid w:val="00634FDD"/>
    <w:rsid w:val="00635AC3"/>
    <w:rsid w:val="00637E38"/>
    <w:rsid w:val="00642A1C"/>
    <w:rsid w:val="00642A3F"/>
    <w:rsid w:val="00643427"/>
    <w:rsid w:val="00645C60"/>
    <w:rsid w:val="00646349"/>
    <w:rsid w:val="0064646A"/>
    <w:rsid w:val="00647C28"/>
    <w:rsid w:val="00650259"/>
    <w:rsid w:val="00651A4D"/>
    <w:rsid w:val="006530C1"/>
    <w:rsid w:val="00653EC4"/>
    <w:rsid w:val="006547B1"/>
    <w:rsid w:val="0066044A"/>
    <w:rsid w:val="0066438B"/>
    <w:rsid w:val="0066444E"/>
    <w:rsid w:val="0066540E"/>
    <w:rsid w:val="006657C1"/>
    <w:rsid w:val="00665C15"/>
    <w:rsid w:val="00666747"/>
    <w:rsid w:val="00667E0E"/>
    <w:rsid w:val="006736FF"/>
    <w:rsid w:val="00680483"/>
    <w:rsid w:val="00690FF1"/>
    <w:rsid w:val="006918B7"/>
    <w:rsid w:val="00691C69"/>
    <w:rsid w:val="00692F56"/>
    <w:rsid w:val="00693E63"/>
    <w:rsid w:val="00694915"/>
    <w:rsid w:val="00695068"/>
    <w:rsid w:val="006A1F30"/>
    <w:rsid w:val="006A3A0F"/>
    <w:rsid w:val="006A4357"/>
    <w:rsid w:val="006A45FD"/>
    <w:rsid w:val="006B12C5"/>
    <w:rsid w:val="006B1CBE"/>
    <w:rsid w:val="006B66B7"/>
    <w:rsid w:val="006B6D45"/>
    <w:rsid w:val="006C11D4"/>
    <w:rsid w:val="006C2067"/>
    <w:rsid w:val="006C20DD"/>
    <w:rsid w:val="006C2648"/>
    <w:rsid w:val="006C4C4B"/>
    <w:rsid w:val="006C4FB2"/>
    <w:rsid w:val="006C5021"/>
    <w:rsid w:val="006C5D12"/>
    <w:rsid w:val="006D1C8F"/>
    <w:rsid w:val="006D20D6"/>
    <w:rsid w:val="006D23C6"/>
    <w:rsid w:val="006D270F"/>
    <w:rsid w:val="006D40AD"/>
    <w:rsid w:val="006D41F1"/>
    <w:rsid w:val="006D460B"/>
    <w:rsid w:val="006D685E"/>
    <w:rsid w:val="006D7249"/>
    <w:rsid w:val="006D7C16"/>
    <w:rsid w:val="006E0B3F"/>
    <w:rsid w:val="006E186C"/>
    <w:rsid w:val="006E29F2"/>
    <w:rsid w:val="006E36F0"/>
    <w:rsid w:val="006E41D5"/>
    <w:rsid w:val="006E704A"/>
    <w:rsid w:val="006F0572"/>
    <w:rsid w:val="006F1427"/>
    <w:rsid w:val="006F2289"/>
    <w:rsid w:val="006F3EF9"/>
    <w:rsid w:val="006F4929"/>
    <w:rsid w:val="006F70B2"/>
    <w:rsid w:val="007005F8"/>
    <w:rsid w:val="0070107A"/>
    <w:rsid w:val="00703A58"/>
    <w:rsid w:val="0070734C"/>
    <w:rsid w:val="007149A9"/>
    <w:rsid w:val="00715048"/>
    <w:rsid w:val="0072094F"/>
    <w:rsid w:val="007212ED"/>
    <w:rsid w:val="00721D10"/>
    <w:rsid w:val="00721F9F"/>
    <w:rsid w:val="007228B8"/>
    <w:rsid w:val="00723652"/>
    <w:rsid w:val="00726088"/>
    <w:rsid w:val="00726467"/>
    <w:rsid w:val="00727D92"/>
    <w:rsid w:val="0073324C"/>
    <w:rsid w:val="00733B2A"/>
    <w:rsid w:val="00736655"/>
    <w:rsid w:val="007374BD"/>
    <w:rsid w:val="00740828"/>
    <w:rsid w:val="00740D38"/>
    <w:rsid w:val="00741973"/>
    <w:rsid w:val="00745142"/>
    <w:rsid w:val="00745FFB"/>
    <w:rsid w:val="0075181F"/>
    <w:rsid w:val="0075287F"/>
    <w:rsid w:val="00752B7E"/>
    <w:rsid w:val="00754DBD"/>
    <w:rsid w:val="00754E25"/>
    <w:rsid w:val="00755849"/>
    <w:rsid w:val="00756E01"/>
    <w:rsid w:val="00757A7F"/>
    <w:rsid w:val="00757A87"/>
    <w:rsid w:val="00760262"/>
    <w:rsid w:val="00762D50"/>
    <w:rsid w:val="007642BA"/>
    <w:rsid w:val="007652B3"/>
    <w:rsid w:val="007664F0"/>
    <w:rsid w:val="00771848"/>
    <w:rsid w:val="00773165"/>
    <w:rsid w:val="00776A31"/>
    <w:rsid w:val="007816FE"/>
    <w:rsid w:val="0078171A"/>
    <w:rsid w:val="007826C0"/>
    <w:rsid w:val="00782B6C"/>
    <w:rsid w:val="007836D6"/>
    <w:rsid w:val="00783FA9"/>
    <w:rsid w:val="00785FA4"/>
    <w:rsid w:val="00786307"/>
    <w:rsid w:val="00786B21"/>
    <w:rsid w:val="00787148"/>
    <w:rsid w:val="00791834"/>
    <w:rsid w:val="00796BD5"/>
    <w:rsid w:val="007975B4"/>
    <w:rsid w:val="007A2B84"/>
    <w:rsid w:val="007A2FEE"/>
    <w:rsid w:val="007A3DB4"/>
    <w:rsid w:val="007A42D5"/>
    <w:rsid w:val="007A623A"/>
    <w:rsid w:val="007A6B61"/>
    <w:rsid w:val="007B001B"/>
    <w:rsid w:val="007B086F"/>
    <w:rsid w:val="007B2A64"/>
    <w:rsid w:val="007B42B8"/>
    <w:rsid w:val="007C09EE"/>
    <w:rsid w:val="007C13E9"/>
    <w:rsid w:val="007C307D"/>
    <w:rsid w:val="007C4688"/>
    <w:rsid w:val="007D0AE2"/>
    <w:rsid w:val="007D1F79"/>
    <w:rsid w:val="007D34E0"/>
    <w:rsid w:val="007D3B11"/>
    <w:rsid w:val="007D3E3C"/>
    <w:rsid w:val="007E2934"/>
    <w:rsid w:val="007E3588"/>
    <w:rsid w:val="007E443F"/>
    <w:rsid w:val="007E4656"/>
    <w:rsid w:val="007E55A2"/>
    <w:rsid w:val="007E673E"/>
    <w:rsid w:val="007E685A"/>
    <w:rsid w:val="007E72C1"/>
    <w:rsid w:val="007F0918"/>
    <w:rsid w:val="007F233D"/>
    <w:rsid w:val="007F7BED"/>
    <w:rsid w:val="00800E0F"/>
    <w:rsid w:val="008013A3"/>
    <w:rsid w:val="008060BF"/>
    <w:rsid w:val="00810EFE"/>
    <w:rsid w:val="00812253"/>
    <w:rsid w:val="00812A5E"/>
    <w:rsid w:val="00813325"/>
    <w:rsid w:val="008135D9"/>
    <w:rsid w:val="00815AA1"/>
    <w:rsid w:val="00824293"/>
    <w:rsid w:val="008250C4"/>
    <w:rsid w:val="008253D4"/>
    <w:rsid w:val="0083055B"/>
    <w:rsid w:val="0083200A"/>
    <w:rsid w:val="00833DD5"/>
    <w:rsid w:val="00835FC1"/>
    <w:rsid w:val="0083622F"/>
    <w:rsid w:val="00836F96"/>
    <w:rsid w:val="008376E9"/>
    <w:rsid w:val="008404E2"/>
    <w:rsid w:val="00843A9B"/>
    <w:rsid w:val="008440C9"/>
    <w:rsid w:val="00844A84"/>
    <w:rsid w:val="00845A3D"/>
    <w:rsid w:val="0084778D"/>
    <w:rsid w:val="00850DBF"/>
    <w:rsid w:val="00853AF0"/>
    <w:rsid w:val="00856A61"/>
    <w:rsid w:val="00860FE8"/>
    <w:rsid w:val="0086461F"/>
    <w:rsid w:val="008647FA"/>
    <w:rsid w:val="008648E9"/>
    <w:rsid w:val="00864B29"/>
    <w:rsid w:val="00865BCE"/>
    <w:rsid w:val="00865EE2"/>
    <w:rsid w:val="008661E7"/>
    <w:rsid w:val="00866940"/>
    <w:rsid w:val="00867782"/>
    <w:rsid w:val="008703C7"/>
    <w:rsid w:val="00871319"/>
    <w:rsid w:val="00872631"/>
    <w:rsid w:val="00872CAB"/>
    <w:rsid w:val="00872F3F"/>
    <w:rsid w:val="00874B11"/>
    <w:rsid w:val="00876AF1"/>
    <w:rsid w:val="00881AF7"/>
    <w:rsid w:val="00882769"/>
    <w:rsid w:val="00883734"/>
    <w:rsid w:val="008838C7"/>
    <w:rsid w:val="00887E5F"/>
    <w:rsid w:val="008907CA"/>
    <w:rsid w:val="0089235A"/>
    <w:rsid w:val="00893510"/>
    <w:rsid w:val="00895920"/>
    <w:rsid w:val="00895E52"/>
    <w:rsid w:val="0089626D"/>
    <w:rsid w:val="008A15F4"/>
    <w:rsid w:val="008A2B6D"/>
    <w:rsid w:val="008A2BAA"/>
    <w:rsid w:val="008A2F30"/>
    <w:rsid w:val="008A32AC"/>
    <w:rsid w:val="008A3635"/>
    <w:rsid w:val="008A614D"/>
    <w:rsid w:val="008A6CF9"/>
    <w:rsid w:val="008A781C"/>
    <w:rsid w:val="008B2ADC"/>
    <w:rsid w:val="008B4700"/>
    <w:rsid w:val="008B5908"/>
    <w:rsid w:val="008B781F"/>
    <w:rsid w:val="008C0E27"/>
    <w:rsid w:val="008C3625"/>
    <w:rsid w:val="008C3C7D"/>
    <w:rsid w:val="008C7BA5"/>
    <w:rsid w:val="008C7E18"/>
    <w:rsid w:val="008D367B"/>
    <w:rsid w:val="008D4A78"/>
    <w:rsid w:val="008D6697"/>
    <w:rsid w:val="008D6963"/>
    <w:rsid w:val="008D7063"/>
    <w:rsid w:val="008E0211"/>
    <w:rsid w:val="008E0D47"/>
    <w:rsid w:val="008E0D9A"/>
    <w:rsid w:val="008E211D"/>
    <w:rsid w:val="008E5386"/>
    <w:rsid w:val="008F4024"/>
    <w:rsid w:val="008F4C2A"/>
    <w:rsid w:val="008F5C91"/>
    <w:rsid w:val="008F7C4E"/>
    <w:rsid w:val="00901250"/>
    <w:rsid w:val="0090246B"/>
    <w:rsid w:val="0090400A"/>
    <w:rsid w:val="00905A63"/>
    <w:rsid w:val="009102B5"/>
    <w:rsid w:val="009164D6"/>
    <w:rsid w:val="0091741C"/>
    <w:rsid w:val="00920222"/>
    <w:rsid w:val="00922FA8"/>
    <w:rsid w:val="0092642A"/>
    <w:rsid w:val="009265E8"/>
    <w:rsid w:val="0092695E"/>
    <w:rsid w:val="00930621"/>
    <w:rsid w:val="009306D5"/>
    <w:rsid w:val="009337AA"/>
    <w:rsid w:val="00935606"/>
    <w:rsid w:val="009403BA"/>
    <w:rsid w:val="009418C2"/>
    <w:rsid w:val="00941A28"/>
    <w:rsid w:val="00941A4B"/>
    <w:rsid w:val="0094367C"/>
    <w:rsid w:val="0094386D"/>
    <w:rsid w:val="009459AD"/>
    <w:rsid w:val="0095028D"/>
    <w:rsid w:val="00951384"/>
    <w:rsid w:val="00951FFC"/>
    <w:rsid w:val="00955137"/>
    <w:rsid w:val="009556AA"/>
    <w:rsid w:val="0095590B"/>
    <w:rsid w:val="00962174"/>
    <w:rsid w:val="009631E4"/>
    <w:rsid w:val="00964AAE"/>
    <w:rsid w:val="0096513D"/>
    <w:rsid w:val="00967CF5"/>
    <w:rsid w:val="00981507"/>
    <w:rsid w:val="0098174C"/>
    <w:rsid w:val="009823BA"/>
    <w:rsid w:val="00984C2D"/>
    <w:rsid w:val="00986196"/>
    <w:rsid w:val="009872A8"/>
    <w:rsid w:val="0099242B"/>
    <w:rsid w:val="00992E00"/>
    <w:rsid w:val="009930FC"/>
    <w:rsid w:val="009932FD"/>
    <w:rsid w:val="0099423F"/>
    <w:rsid w:val="00994BF5"/>
    <w:rsid w:val="00996A6A"/>
    <w:rsid w:val="00997AD0"/>
    <w:rsid w:val="009A06EC"/>
    <w:rsid w:val="009A1645"/>
    <w:rsid w:val="009A411B"/>
    <w:rsid w:val="009B0C35"/>
    <w:rsid w:val="009B1BB6"/>
    <w:rsid w:val="009B33A1"/>
    <w:rsid w:val="009B5C70"/>
    <w:rsid w:val="009B7B40"/>
    <w:rsid w:val="009C226B"/>
    <w:rsid w:val="009C2FB6"/>
    <w:rsid w:val="009C30FB"/>
    <w:rsid w:val="009C3BA5"/>
    <w:rsid w:val="009C675B"/>
    <w:rsid w:val="009D0423"/>
    <w:rsid w:val="009D0FA2"/>
    <w:rsid w:val="009D23DF"/>
    <w:rsid w:val="009D400A"/>
    <w:rsid w:val="009D49C9"/>
    <w:rsid w:val="009D5491"/>
    <w:rsid w:val="009D7674"/>
    <w:rsid w:val="009E0F9C"/>
    <w:rsid w:val="009E288A"/>
    <w:rsid w:val="009E3F40"/>
    <w:rsid w:val="009E4FFA"/>
    <w:rsid w:val="009E5A65"/>
    <w:rsid w:val="009E6448"/>
    <w:rsid w:val="009E78D0"/>
    <w:rsid w:val="009F0753"/>
    <w:rsid w:val="009F1398"/>
    <w:rsid w:val="009F1846"/>
    <w:rsid w:val="009F3784"/>
    <w:rsid w:val="009F38B6"/>
    <w:rsid w:val="009F7039"/>
    <w:rsid w:val="00A00042"/>
    <w:rsid w:val="00A006FC"/>
    <w:rsid w:val="00A00A92"/>
    <w:rsid w:val="00A045B7"/>
    <w:rsid w:val="00A05A09"/>
    <w:rsid w:val="00A06DA3"/>
    <w:rsid w:val="00A118F3"/>
    <w:rsid w:val="00A125EB"/>
    <w:rsid w:val="00A1413F"/>
    <w:rsid w:val="00A161B5"/>
    <w:rsid w:val="00A16664"/>
    <w:rsid w:val="00A1679F"/>
    <w:rsid w:val="00A174A3"/>
    <w:rsid w:val="00A17C8B"/>
    <w:rsid w:val="00A17E09"/>
    <w:rsid w:val="00A20182"/>
    <w:rsid w:val="00A2251D"/>
    <w:rsid w:val="00A22E2B"/>
    <w:rsid w:val="00A23130"/>
    <w:rsid w:val="00A2325A"/>
    <w:rsid w:val="00A23F89"/>
    <w:rsid w:val="00A2437C"/>
    <w:rsid w:val="00A24449"/>
    <w:rsid w:val="00A247E4"/>
    <w:rsid w:val="00A26D2C"/>
    <w:rsid w:val="00A30A56"/>
    <w:rsid w:val="00A3463B"/>
    <w:rsid w:val="00A36448"/>
    <w:rsid w:val="00A36EDD"/>
    <w:rsid w:val="00A37211"/>
    <w:rsid w:val="00A42303"/>
    <w:rsid w:val="00A454F5"/>
    <w:rsid w:val="00A46442"/>
    <w:rsid w:val="00A50A42"/>
    <w:rsid w:val="00A53F75"/>
    <w:rsid w:val="00A55760"/>
    <w:rsid w:val="00A568FD"/>
    <w:rsid w:val="00A60F71"/>
    <w:rsid w:val="00A611A9"/>
    <w:rsid w:val="00A61243"/>
    <w:rsid w:val="00A617BB"/>
    <w:rsid w:val="00A6269E"/>
    <w:rsid w:val="00A67719"/>
    <w:rsid w:val="00A679BD"/>
    <w:rsid w:val="00A7211C"/>
    <w:rsid w:val="00A751C2"/>
    <w:rsid w:val="00A754E3"/>
    <w:rsid w:val="00A75749"/>
    <w:rsid w:val="00A761B4"/>
    <w:rsid w:val="00A801F1"/>
    <w:rsid w:val="00A809FE"/>
    <w:rsid w:val="00A81A74"/>
    <w:rsid w:val="00A828BA"/>
    <w:rsid w:val="00A8296A"/>
    <w:rsid w:val="00A8375E"/>
    <w:rsid w:val="00A8406D"/>
    <w:rsid w:val="00A84E2B"/>
    <w:rsid w:val="00A8763D"/>
    <w:rsid w:val="00A9079C"/>
    <w:rsid w:val="00A9487F"/>
    <w:rsid w:val="00A953B5"/>
    <w:rsid w:val="00A96DC9"/>
    <w:rsid w:val="00A97050"/>
    <w:rsid w:val="00A97797"/>
    <w:rsid w:val="00AA0A3C"/>
    <w:rsid w:val="00AA3010"/>
    <w:rsid w:val="00AA38FC"/>
    <w:rsid w:val="00AA49AC"/>
    <w:rsid w:val="00AA4AB8"/>
    <w:rsid w:val="00AA630C"/>
    <w:rsid w:val="00AA7682"/>
    <w:rsid w:val="00AA7A5D"/>
    <w:rsid w:val="00AB239F"/>
    <w:rsid w:val="00AB3D0B"/>
    <w:rsid w:val="00AB5030"/>
    <w:rsid w:val="00AB591F"/>
    <w:rsid w:val="00AB675D"/>
    <w:rsid w:val="00AB70A6"/>
    <w:rsid w:val="00AB7657"/>
    <w:rsid w:val="00AC0F1B"/>
    <w:rsid w:val="00AC27E4"/>
    <w:rsid w:val="00AC4D75"/>
    <w:rsid w:val="00AC5AE9"/>
    <w:rsid w:val="00AC7253"/>
    <w:rsid w:val="00AC781C"/>
    <w:rsid w:val="00AD2C69"/>
    <w:rsid w:val="00AD2D13"/>
    <w:rsid w:val="00AD66B2"/>
    <w:rsid w:val="00AD7D88"/>
    <w:rsid w:val="00AE4B0A"/>
    <w:rsid w:val="00AE5DF0"/>
    <w:rsid w:val="00AE6E3A"/>
    <w:rsid w:val="00AF2F7F"/>
    <w:rsid w:val="00AF4296"/>
    <w:rsid w:val="00AF5E45"/>
    <w:rsid w:val="00AF6DCD"/>
    <w:rsid w:val="00AF7047"/>
    <w:rsid w:val="00AF79A5"/>
    <w:rsid w:val="00B0149E"/>
    <w:rsid w:val="00B01984"/>
    <w:rsid w:val="00B01E3E"/>
    <w:rsid w:val="00B02404"/>
    <w:rsid w:val="00B02CAD"/>
    <w:rsid w:val="00B055CF"/>
    <w:rsid w:val="00B05663"/>
    <w:rsid w:val="00B1154D"/>
    <w:rsid w:val="00B11694"/>
    <w:rsid w:val="00B1189F"/>
    <w:rsid w:val="00B1762D"/>
    <w:rsid w:val="00B20D6A"/>
    <w:rsid w:val="00B22308"/>
    <w:rsid w:val="00B22882"/>
    <w:rsid w:val="00B23B9B"/>
    <w:rsid w:val="00B253E7"/>
    <w:rsid w:val="00B275A6"/>
    <w:rsid w:val="00B347C6"/>
    <w:rsid w:val="00B357F4"/>
    <w:rsid w:val="00B35E42"/>
    <w:rsid w:val="00B4049B"/>
    <w:rsid w:val="00B432D6"/>
    <w:rsid w:val="00B43CC0"/>
    <w:rsid w:val="00B43E46"/>
    <w:rsid w:val="00B449CF"/>
    <w:rsid w:val="00B468BD"/>
    <w:rsid w:val="00B55B90"/>
    <w:rsid w:val="00B56811"/>
    <w:rsid w:val="00B56841"/>
    <w:rsid w:val="00B568B8"/>
    <w:rsid w:val="00B6042E"/>
    <w:rsid w:val="00B60F03"/>
    <w:rsid w:val="00B61E56"/>
    <w:rsid w:val="00B62A52"/>
    <w:rsid w:val="00B6327C"/>
    <w:rsid w:val="00B6370B"/>
    <w:rsid w:val="00B65662"/>
    <w:rsid w:val="00B66AB2"/>
    <w:rsid w:val="00B725D7"/>
    <w:rsid w:val="00B73122"/>
    <w:rsid w:val="00B73D17"/>
    <w:rsid w:val="00B7480D"/>
    <w:rsid w:val="00B75A1D"/>
    <w:rsid w:val="00B802FD"/>
    <w:rsid w:val="00B80E6A"/>
    <w:rsid w:val="00B82469"/>
    <w:rsid w:val="00B84212"/>
    <w:rsid w:val="00B84502"/>
    <w:rsid w:val="00B87633"/>
    <w:rsid w:val="00B87CBB"/>
    <w:rsid w:val="00B911CB"/>
    <w:rsid w:val="00B94861"/>
    <w:rsid w:val="00B94E20"/>
    <w:rsid w:val="00B95C6D"/>
    <w:rsid w:val="00B970BA"/>
    <w:rsid w:val="00BA1E36"/>
    <w:rsid w:val="00BA468D"/>
    <w:rsid w:val="00BB604D"/>
    <w:rsid w:val="00BC04A6"/>
    <w:rsid w:val="00BC2E98"/>
    <w:rsid w:val="00BC34EB"/>
    <w:rsid w:val="00BC3F85"/>
    <w:rsid w:val="00BC706B"/>
    <w:rsid w:val="00BD20DE"/>
    <w:rsid w:val="00BD33F6"/>
    <w:rsid w:val="00BD35CF"/>
    <w:rsid w:val="00BD3EB9"/>
    <w:rsid w:val="00BD4AFF"/>
    <w:rsid w:val="00BD52DD"/>
    <w:rsid w:val="00BD6B62"/>
    <w:rsid w:val="00BD71B6"/>
    <w:rsid w:val="00BE2462"/>
    <w:rsid w:val="00BE71AC"/>
    <w:rsid w:val="00BF0DE8"/>
    <w:rsid w:val="00BF2D70"/>
    <w:rsid w:val="00BF3A73"/>
    <w:rsid w:val="00BF3C63"/>
    <w:rsid w:val="00BF5944"/>
    <w:rsid w:val="00C00834"/>
    <w:rsid w:val="00C01A5E"/>
    <w:rsid w:val="00C03188"/>
    <w:rsid w:val="00C049AF"/>
    <w:rsid w:val="00C04AF2"/>
    <w:rsid w:val="00C05E4E"/>
    <w:rsid w:val="00C0723A"/>
    <w:rsid w:val="00C07A30"/>
    <w:rsid w:val="00C1212C"/>
    <w:rsid w:val="00C149AE"/>
    <w:rsid w:val="00C16ADE"/>
    <w:rsid w:val="00C17A63"/>
    <w:rsid w:val="00C21179"/>
    <w:rsid w:val="00C22DC8"/>
    <w:rsid w:val="00C24153"/>
    <w:rsid w:val="00C27734"/>
    <w:rsid w:val="00C32711"/>
    <w:rsid w:val="00C32814"/>
    <w:rsid w:val="00C330C6"/>
    <w:rsid w:val="00C3424C"/>
    <w:rsid w:val="00C34377"/>
    <w:rsid w:val="00C349FF"/>
    <w:rsid w:val="00C372F9"/>
    <w:rsid w:val="00C406B1"/>
    <w:rsid w:val="00C42C49"/>
    <w:rsid w:val="00C43F14"/>
    <w:rsid w:val="00C449F1"/>
    <w:rsid w:val="00C44F8C"/>
    <w:rsid w:val="00C4555D"/>
    <w:rsid w:val="00C4614F"/>
    <w:rsid w:val="00C4710C"/>
    <w:rsid w:val="00C50544"/>
    <w:rsid w:val="00C50DD1"/>
    <w:rsid w:val="00C52923"/>
    <w:rsid w:val="00C53852"/>
    <w:rsid w:val="00C5488E"/>
    <w:rsid w:val="00C63A23"/>
    <w:rsid w:val="00C651DE"/>
    <w:rsid w:val="00C66871"/>
    <w:rsid w:val="00C6696C"/>
    <w:rsid w:val="00C71D1A"/>
    <w:rsid w:val="00C71ECF"/>
    <w:rsid w:val="00C7370C"/>
    <w:rsid w:val="00C74D53"/>
    <w:rsid w:val="00C75D4C"/>
    <w:rsid w:val="00C77845"/>
    <w:rsid w:val="00C82FB9"/>
    <w:rsid w:val="00C841DB"/>
    <w:rsid w:val="00C84F24"/>
    <w:rsid w:val="00C85B46"/>
    <w:rsid w:val="00C87630"/>
    <w:rsid w:val="00C901A8"/>
    <w:rsid w:val="00C90269"/>
    <w:rsid w:val="00C90F78"/>
    <w:rsid w:val="00C92DBB"/>
    <w:rsid w:val="00C92F27"/>
    <w:rsid w:val="00C944D5"/>
    <w:rsid w:val="00CA6DFB"/>
    <w:rsid w:val="00CA6E26"/>
    <w:rsid w:val="00CA71D0"/>
    <w:rsid w:val="00CB2442"/>
    <w:rsid w:val="00CB43A3"/>
    <w:rsid w:val="00CB6A2B"/>
    <w:rsid w:val="00CB6DA0"/>
    <w:rsid w:val="00CB77C1"/>
    <w:rsid w:val="00CC40C9"/>
    <w:rsid w:val="00CC72DB"/>
    <w:rsid w:val="00CD16E3"/>
    <w:rsid w:val="00CD38B3"/>
    <w:rsid w:val="00CD4397"/>
    <w:rsid w:val="00CD4490"/>
    <w:rsid w:val="00CD5190"/>
    <w:rsid w:val="00CD561D"/>
    <w:rsid w:val="00CD5700"/>
    <w:rsid w:val="00CD6854"/>
    <w:rsid w:val="00CD7440"/>
    <w:rsid w:val="00CE33DB"/>
    <w:rsid w:val="00CE5DA2"/>
    <w:rsid w:val="00CE5F71"/>
    <w:rsid w:val="00CE748F"/>
    <w:rsid w:val="00CE7BEF"/>
    <w:rsid w:val="00CE7C23"/>
    <w:rsid w:val="00CF115D"/>
    <w:rsid w:val="00CF4374"/>
    <w:rsid w:val="00CF6B87"/>
    <w:rsid w:val="00CF76C8"/>
    <w:rsid w:val="00CF792E"/>
    <w:rsid w:val="00CF7D90"/>
    <w:rsid w:val="00D0068A"/>
    <w:rsid w:val="00D019DA"/>
    <w:rsid w:val="00D04B58"/>
    <w:rsid w:val="00D06391"/>
    <w:rsid w:val="00D12C9F"/>
    <w:rsid w:val="00D16BB0"/>
    <w:rsid w:val="00D176D1"/>
    <w:rsid w:val="00D201CD"/>
    <w:rsid w:val="00D22A72"/>
    <w:rsid w:val="00D236C3"/>
    <w:rsid w:val="00D24D3F"/>
    <w:rsid w:val="00D24D6D"/>
    <w:rsid w:val="00D257B4"/>
    <w:rsid w:val="00D27C2D"/>
    <w:rsid w:val="00D30E7C"/>
    <w:rsid w:val="00D30E7E"/>
    <w:rsid w:val="00D319F4"/>
    <w:rsid w:val="00D3624F"/>
    <w:rsid w:val="00D36B10"/>
    <w:rsid w:val="00D40DD3"/>
    <w:rsid w:val="00D44580"/>
    <w:rsid w:val="00D46DC7"/>
    <w:rsid w:val="00D556FE"/>
    <w:rsid w:val="00D55A1F"/>
    <w:rsid w:val="00D5603D"/>
    <w:rsid w:val="00D577F5"/>
    <w:rsid w:val="00D6169F"/>
    <w:rsid w:val="00D62A53"/>
    <w:rsid w:val="00D67D17"/>
    <w:rsid w:val="00D67E2F"/>
    <w:rsid w:val="00D7118A"/>
    <w:rsid w:val="00D712A8"/>
    <w:rsid w:val="00D75C9E"/>
    <w:rsid w:val="00D769C3"/>
    <w:rsid w:val="00D80BC9"/>
    <w:rsid w:val="00D817EB"/>
    <w:rsid w:val="00D81CAB"/>
    <w:rsid w:val="00D82F54"/>
    <w:rsid w:val="00D84256"/>
    <w:rsid w:val="00D90958"/>
    <w:rsid w:val="00D90DCF"/>
    <w:rsid w:val="00D9170A"/>
    <w:rsid w:val="00D93FB1"/>
    <w:rsid w:val="00D954EE"/>
    <w:rsid w:val="00D960EA"/>
    <w:rsid w:val="00DA3A19"/>
    <w:rsid w:val="00DB1089"/>
    <w:rsid w:val="00DB4B64"/>
    <w:rsid w:val="00DB5108"/>
    <w:rsid w:val="00DC0B59"/>
    <w:rsid w:val="00DC0DC9"/>
    <w:rsid w:val="00DD021E"/>
    <w:rsid w:val="00DD0AE2"/>
    <w:rsid w:val="00DD251E"/>
    <w:rsid w:val="00DD319D"/>
    <w:rsid w:val="00DE109F"/>
    <w:rsid w:val="00DE56D0"/>
    <w:rsid w:val="00DE5705"/>
    <w:rsid w:val="00DE7FBB"/>
    <w:rsid w:val="00DF010D"/>
    <w:rsid w:val="00DF1BE9"/>
    <w:rsid w:val="00DF2490"/>
    <w:rsid w:val="00DF2495"/>
    <w:rsid w:val="00DF265A"/>
    <w:rsid w:val="00DF5D8C"/>
    <w:rsid w:val="00DF71A3"/>
    <w:rsid w:val="00DF7232"/>
    <w:rsid w:val="00DF795E"/>
    <w:rsid w:val="00E00105"/>
    <w:rsid w:val="00E021F7"/>
    <w:rsid w:val="00E02E98"/>
    <w:rsid w:val="00E0496A"/>
    <w:rsid w:val="00E04998"/>
    <w:rsid w:val="00E04F97"/>
    <w:rsid w:val="00E0621F"/>
    <w:rsid w:val="00E06C3B"/>
    <w:rsid w:val="00E06EC4"/>
    <w:rsid w:val="00E07D9C"/>
    <w:rsid w:val="00E1019E"/>
    <w:rsid w:val="00E13D38"/>
    <w:rsid w:val="00E20173"/>
    <w:rsid w:val="00E22CEA"/>
    <w:rsid w:val="00E27B92"/>
    <w:rsid w:val="00E27C92"/>
    <w:rsid w:val="00E3025E"/>
    <w:rsid w:val="00E33411"/>
    <w:rsid w:val="00E339D7"/>
    <w:rsid w:val="00E37E73"/>
    <w:rsid w:val="00E40326"/>
    <w:rsid w:val="00E421E0"/>
    <w:rsid w:val="00E422E9"/>
    <w:rsid w:val="00E42CA1"/>
    <w:rsid w:val="00E45C6D"/>
    <w:rsid w:val="00E46827"/>
    <w:rsid w:val="00E506DA"/>
    <w:rsid w:val="00E521A5"/>
    <w:rsid w:val="00E54D25"/>
    <w:rsid w:val="00E561F3"/>
    <w:rsid w:val="00E574E0"/>
    <w:rsid w:val="00E61161"/>
    <w:rsid w:val="00E63448"/>
    <w:rsid w:val="00E64A6D"/>
    <w:rsid w:val="00E64DB0"/>
    <w:rsid w:val="00E64DB7"/>
    <w:rsid w:val="00E66798"/>
    <w:rsid w:val="00E668FA"/>
    <w:rsid w:val="00E70224"/>
    <w:rsid w:val="00E705D8"/>
    <w:rsid w:val="00E70E53"/>
    <w:rsid w:val="00E736B4"/>
    <w:rsid w:val="00E74AA6"/>
    <w:rsid w:val="00E754C8"/>
    <w:rsid w:val="00E80960"/>
    <w:rsid w:val="00E83F0F"/>
    <w:rsid w:val="00E908BD"/>
    <w:rsid w:val="00E946D6"/>
    <w:rsid w:val="00E94F28"/>
    <w:rsid w:val="00E95B15"/>
    <w:rsid w:val="00E95C0B"/>
    <w:rsid w:val="00E95F12"/>
    <w:rsid w:val="00E97417"/>
    <w:rsid w:val="00E9747D"/>
    <w:rsid w:val="00E97766"/>
    <w:rsid w:val="00EA045F"/>
    <w:rsid w:val="00EA4636"/>
    <w:rsid w:val="00EA5971"/>
    <w:rsid w:val="00EA7732"/>
    <w:rsid w:val="00EB0614"/>
    <w:rsid w:val="00EB10CB"/>
    <w:rsid w:val="00EB368B"/>
    <w:rsid w:val="00EB435D"/>
    <w:rsid w:val="00EB53D7"/>
    <w:rsid w:val="00EB6E45"/>
    <w:rsid w:val="00EC023D"/>
    <w:rsid w:val="00EC278A"/>
    <w:rsid w:val="00EC30F0"/>
    <w:rsid w:val="00EC555F"/>
    <w:rsid w:val="00EC6BE1"/>
    <w:rsid w:val="00ED251B"/>
    <w:rsid w:val="00ED2F27"/>
    <w:rsid w:val="00ED7496"/>
    <w:rsid w:val="00ED7850"/>
    <w:rsid w:val="00EE105D"/>
    <w:rsid w:val="00EE145A"/>
    <w:rsid w:val="00EE1522"/>
    <w:rsid w:val="00EE225A"/>
    <w:rsid w:val="00EE26BD"/>
    <w:rsid w:val="00EE3D7E"/>
    <w:rsid w:val="00EE7869"/>
    <w:rsid w:val="00EF06C8"/>
    <w:rsid w:val="00EF15D7"/>
    <w:rsid w:val="00EF2D4E"/>
    <w:rsid w:val="00F0059B"/>
    <w:rsid w:val="00F02826"/>
    <w:rsid w:val="00F0484D"/>
    <w:rsid w:val="00F06B0F"/>
    <w:rsid w:val="00F06F58"/>
    <w:rsid w:val="00F071BC"/>
    <w:rsid w:val="00F11DFF"/>
    <w:rsid w:val="00F1411A"/>
    <w:rsid w:val="00F148E2"/>
    <w:rsid w:val="00F14C11"/>
    <w:rsid w:val="00F1526D"/>
    <w:rsid w:val="00F15876"/>
    <w:rsid w:val="00F16804"/>
    <w:rsid w:val="00F16EC7"/>
    <w:rsid w:val="00F177E9"/>
    <w:rsid w:val="00F2323D"/>
    <w:rsid w:val="00F246A4"/>
    <w:rsid w:val="00F24EFC"/>
    <w:rsid w:val="00F32482"/>
    <w:rsid w:val="00F3558F"/>
    <w:rsid w:val="00F362B8"/>
    <w:rsid w:val="00F36818"/>
    <w:rsid w:val="00F4167A"/>
    <w:rsid w:val="00F43CA7"/>
    <w:rsid w:val="00F448BD"/>
    <w:rsid w:val="00F46D1D"/>
    <w:rsid w:val="00F511F0"/>
    <w:rsid w:val="00F51242"/>
    <w:rsid w:val="00F5130F"/>
    <w:rsid w:val="00F51FC6"/>
    <w:rsid w:val="00F55547"/>
    <w:rsid w:val="00F5581B"/>
    <w:rsid w:val="00F60B16"/>
    <w:rsid w:val="00F60D7C"/>
    <w:rsid w:val="00F61908"/>
    <w:rsid w:val="00F6208A"/>
    <w:rsid w:val="00F63CED"/>
    <w:rsid w:val="00F64873"/>
    <w:rsid w:val="00F652F3"/>
    <w:rsid w:val="00F72ED7"/>
    <w:rsid w:val="00F774C1"/>
    <w:rsid w:val="00F820B6"/>
    <w:rsid w:val="00F8462C"/>
    <w:rsid w:val="00F8504E"/>
    <w:rsid w:val="00F859CE"/>
    <w:rsid w:val="00F86179"/>
    <w:rsid w:val="00F86DF5"/>
    <w:rsid w:val="00F90460"/>
    <w:rsid w:val="00F90CB9"/>
    <w:rsid w:val="00F91F76"/>
    <w:rsid w:val="00F926F4"/>
    <w:rsid w:val="00F93579"/>
    <w:rsid w:val="00F946E6"/>
    <w:rsid w:val="00F94734"/>
    <w:rsid w:val="00F9637E"/>
    <w:rsid w:val="00F96BDA"/>
    <w:rsid w:val="00F9713A"/>
    <w:rsid w:val="00F973B1"/>
    <w:rsid w:val="00FA134C"/>
    <w:rsid w:val="00FA27F6"/>
    <w:rsid w:val="00FA2985"/>
    <w:rsid w:val="00FA7380"/>
    <w:rsid w:val="00FA7E81"/>
    <w:rsid w:val="00FB1DBE"/>
    <w:rsid w:val="00FB299C"/>
    <w:rsid w:val="00FB4739"/>
    <w:rsid w:val="00FB4C20"/>
    <w:rsid w:val="00FB66C2"/>
    <w:rsid w:val="00FC1218"/>
    <w:rsid w:val="00FC23FB"/>
    <w:rsid w:val="00FC27D6"/>
    <w:rsid w:val="00FC2B1A"/>
    <w:rsid w:val="00FC33AF"/>
    <w:rsid w:val="00FC38ED"/>
    <w:rsid w:val="00FC69B4"/>
    <w:rsid w:val="00FD04C8"/>
    <w:rsid w:val="00FD125A"/>
    <w:rsid w:val="00FD3A52"/>
    <w:rsid w:val="00FD4B7A"/>
    <w:rsid w:val="00FD7921"/>
    <w:rsid w:val="00FD7C96"/>
    <w:rsid w:val="00FE28B5"/>
    <w:rsid w:val="00FE2926"/>
    <w:rsid w:val="00FE4D80"/>
    <w:rsid w:val="00FE562D"/>
    <w:rsid w:val="00FF047A"/>
    <w:rsid w:val="00FF0A6A"/>
    <w:rsid w:val="00FF1905"/>
    <w:rsid w:val="00FF33FF"/>
    <w:rsid w:val="00FF343F"/>
    <w:rsid w:val="00FF3F5A"/>
    <w:rsid w:val="00FF4C44"/>
    <w:rsid w:val="00FF50C2"/>
    <w:rsid w:val="00FF6C3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1E0"/>
    <w:pPr>
      <w:jc w:val="both"/>
    </w:pPr>
    <w:rPr>
      <w:rFonts w:asciiTheme="minorHAnsi" w:hAnsiTheme="minorHAnsi"/>
      <w:sz w:val="22"/>
    </w:rPr>
  </w:style>
  <w:style w:type="paragraph" w:styleId="Ttulo1">
    <w:name w:val="heading 1"/>
    <w:basedOn w:val="Normal"/>
    <w:next w:val="Normal"/>
    <w:qFormat/>
    <w:rsid w:val="00E421E0"/>
    <w:pPr>
      <w:keepNext/>
      <w:numPr>
        <w:numId w:val="3"/>
      </w:numPr>
      <w:spacing w:before="240"/>
      <w:outlineLvl w:val="0"/>
    </w:pPr>
    <w:rPr>
      <w:b/>
      <w:caps/>
      <w:kern w:val="28"/>
      <w:sz w:val="28"/>
      <w:szCs w:val="28"/>
    </w:rPr>
  </w:style>
  <w:style w:type="paragraph" w:styleId="Ttulo2">
    <w:name w:val="heading 2"/>
    <w:basedOn w:val="Estilo2"/>
    <w:next w:val="Normal"/>
    <w:qFormat/>
    <w:rsid w:val="0031106C"/>
    <w:pPr>
      <w:numPr>
        <w:ilvl w:val="1"/>
        <w:numId w:val="3"/>
      </w:numPr>
      <w:pBdr>
        <w:bottom w:val="none" w:sz="0" w:space="0" w:color="auto"/>
      </w:pBdr>
      <w:spacing w:before="240" w:after="120"/>
      <w:outlineLvl w:val="1"/>
    </w:pPr>
    <w:rPr>
      <w:caps/>
      <w:color w:val="auto"/>
      <w:szCs w:val="22"/>
    </w:rPr>
  </w:style>
  <w:style w:type="paragraph" w:styleId="Ttulo3">
    <w:name w:val="heading 3"/>
    <w:basedOn w:val="Normal"/>
    <w:next w:val="Normal"/>
    <w:qFormat/>
    <w:rsid w:val="0031106C"/>
    <w:pPr>
      <w:keepNext/>
      <w:spacing w:before="120" w:after="120"/>
      <w:outlineLvl w:val="2"/>
    </w:pPr>
    <w:rPr>
      <w:b/>
      <w:sz w:val="24"/>
    </w:rPr>
  </w:style>
  <w:style w:type="paragraph" w:styleId="Ttulo4">
    <w:name w:val="heading 4"/>
    <w:basedOn w:val="Normal"/>
    <w:next w:val="Normal"/>
    <w:qFormat/>
    <w:rsid w:val="008253D4"/>
    <w:pPr>
      <w:keepNext/>
      <w:numPr>
        <w:ilvl w:val="3"/>
        <w:numId w:val="2"/>
      </w:numPr>
      <w:spacing w:before="120" w:after="120"/>
      <w:outlineLvl w:val="3"/>
    </w:pPr>
    <w:rPr>
      <w:b/>
    </w:rPr>
  </w:style>
  <w:style w:type="paragraph" w:styleId="Ttulo5">
    <w:name w:val="heading 5"/>
    <w:basedOn w:val="Normal"/>
    <w:next w:val="Normal"/>
    <w:qFormat/>
    <w:rsid w:val="00C42C49"/>
    <w:pPr>
      <w:keepNext/>
      <w:numPr>
        <w:ilvl w:val="4"/>
        <w:numId w:val="2"/>
      </w:numPr>
      <w:spacing w:before="60" w:after="60"/>
      <w:outlineLvl w:val="4"/>
    </w:pPr>
    <w:rPr>
      <w:b/>
      <w:i/>
    </w:rPr>
  </w:style>
  <w:style w:type="paragraph" w:styleId="Ttulo6">
    <w:name w:val="heading 6"/>
    <w:basedOn w:val="Normal"/>
    <w:next w:val="Normal"/>
    <w:qFormat/>
    <w:rsid w:val="008253D4"/>
    <w:pPr>
      <w:keepNext/>
      <w:numPr>
        <w:ilvl w:val="5"/>
        <w:numId w:val="2"/>
      </w:numPr>
      <w:outlineLvl w:val="5"/>
    </w:pPr>
    <w:rPr>
      <w:color w:val="FF0000"/>
      <w:sz w:val="32"/>
    </w:rPr>
  </w:style>
  <w:style w:type="paragraph" w:styleId="Ttulo7">
    <w:name w:val="heading 7"/>
    <w:basedOn w:val="Normal"/>
    <w:next w:val="Normal"/>
    <w:qFormat/>
    <w:rsid w:val="008253D4"/>
    <w:pPr>
      <w:keepNext/>
      <w:numPr>
        <w:ilvl w:val="6"/>
        <w:numId w:val="2"/>
      </w:numPr>
      <w:outlineLvl w:val="6"/>
    </w:pPr>
    <w:rPr>
      <w:color w:val="FF0000"/>
      <w:sz w:val="24"/>
    </w:rPr>
  </w:style>
  <w:style w:type="paragraph" w:styleId="Ttulo8">
    <w:name w:val="heading 8"/>
    <w:basedOn w:val="Normal"/>
    <w:next w:val="Normal"/>
    <w:qFormat/>
    <w:rsid w:val="008253D4"/>
    <w:pPr>
      <w:keepNext/>
      <w:numPr>
        <w:ilvl w:val="7"/>
        <w:numId w:val="2"/>
      </w:numPr>
      <w:outlineLvl w:val="7"/>
    </w:pPr>
    <w:rPr>
      <w:b/>
      <w:snapToGrid w:val="0"/>
      <w:color w:val="000000"/>
    </w:rPr>
  </w:style>
  <w:style w:type="paragraph" w:styleId="Ttulo9">
    <w:name w:val="heading 9"/>
    <w:basedOn w:val="Normal"/>
    <w:next w:val="Normal"/>
    <w:qFormat/>
    <w:rsid w:val="008253D4"/>
    <w:pPr>
      <w:numPr>
        <w:ilvl w:val="8"/>
        <w:numId w:val="2"/>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12534"/>
    <w:pPr>
      <w:tabs>
        <w:tab w:val="center" w:pos="4419"/>
        <w:tab w:val="right" w:pos="8838"/>
      </w:tabs>
    </w:pPr>
    <w:rPr>
      <w:b/>
      <w:caps/>
      <w:sz w:val="16"/>
    </w:rPr>
  </w:style>
  <w:style w:type="paragraph" w:styleId="Piedepgina">
    <w:name w:val="footer"/>
    <w:basedOn w:val="Normal"/>
    <w:link w:val="PiedepginaCar"/>
    <w:uiPriority w:val="99"/>
    <w:rsid w:val="00412534"/>
    <w:pPr>
      <w:tabs>
        <w:tab w:val="center" w:pos="4252"/>
        <w:tab w:val="right" w:pos="8504"/>
      </w:tabs>
    </w:pPr>
  </w:style>
  <w:style w:type="paragraph" w:styleId="Textosinformato">
    <w:name w:val="Plain Text"/>
    <w:basedOn w:val="Normal"/>
    <w:rsid w:val="00412534"/>
    <w:rPr>
      <w:rFonts w:ascii="Courier New" w:hAnsi="Courier New"/>
    </w:rPr>
  </w:style>
  <w:style w:type="character" w:styleId="Nmerodepgina">
    <w:name w:val="page number"/>
    <w:basedOn w:val="Fuentedeprrafopredeter"/>
    <w:rsid w:val="00412534"/>
    <w:rPr>
      <w:rFonts w:ascii="Century Gothic" w:hAnsi="Century Gothic"/>
      <w:b/>
      <w:sz w:val="16"/>
    </w:rPr>
  </w:style>
  <w:style w:type="paragraph" w:customStyle="1" w:styleId="Estilo2">
    <w:name w:val="Estilo2"/>
    <w:basedOn w:val="Normal"/>
    <w:rsid w:val="00111560"/>
    <w:pPr>
      <w:pBdr>
        <w:bottom w:val="single" w:sz="4" w:space="1" w:color="0000FF"/>
      </w:pBdr>
    </w:pPr>
    <w:rPr>
      <w:b/>
      <w:color w:val="0000FF"/>
      <w:sz w:val="24"/>
      <w:szCs w:val="24"/>
    </w:rPr>
  </w:style>
  <w:style w:type="paragraph" w:styleId="Sangradetextonormal">
    <w:name w:val="Body Text Indent"/>
    <w:basedOn w:val="Normal"/>
    <w:rsid w:val="00412534"/>
    <w:pPr>
      <w:ind w:firstLine="709"/>
    </w:pPr>
  </w:style>
  <w:style w:type="paragraph" w:styleId="Sangra2detindependiente">
    <w:name w:val="Body Text Indent 2"/>
    <w:basedOn w:val="Normal"/>
    <w:rsid w:val="00412534"/>
    <w:pPr>
      <w:ind w:firstLine="709"/>
    </w:pPr>
  </w:style>
  <w:style w:type="paragraph" w:styleId="Sangra3detindependiente">
    <w:name w:val="Body Text Indent 3"/>
    <w:basedOn w:val="Normal"/>
    <w:rsid w:val="00412534"/>
    <w:pPr>
      <w:ind w:firstLine="708"/>
    </w:pPr>
  </w:style>
  <w:style w:type="paragraph" w:styleId="TDC1">
    <w:name w:val="toc 1"/>
    <w:basedOn w:val="Normal"/>
    <w:next w:val="Normal"/>
    <w:autoRedefine/>
    <w:semiHidden/>
    <w:rsid w:val="00111560"/>
    <w:pPr>
      <w:tabs>
        <w:tab w:val="right" w:leader="dot" w:pos="9345"/>
      </w:tabs>
      <w:spacing w:before="60" w:after="60"/>
    </w:pPr>
    <w:rPr>
      <w:caps/>
      <w:noProof/>
    </w:rPr>
  </w:style>
  <w:style w:type="paragraph" w:styleId="TDC2">
    <w:name w:val="toc 2"/>
    <w:basedOn w:val="Normal"/>
    <w:next w:val="Normal"/>
    <w:autoRedefine/>
    <w:semiHidden/>
    <w:rsid w:val="00412534"/>
    <w:pPr>
      <w:ind w:left="200"/>
    </w:pPr>
  </w:style>
  <w:style w:type="paragraph" w:styleId="TDC3">
    <w:name w:val="toc 3"/>
    <w:basedOn w:val="Normal"/>
    <w:next w:val="Normal"/>
    <w:autoRedefine/>
    <w:semiHidden/>
    <w:rsid w:val="00412534"/>
    <w:pPr>
      <w:ind w:left="400"/>
    </w:pPr>
  </w:style>
  <w:style w:type="paragraph" w:styleId="TDC4">
    <w:name w:val="toc 4"/>
    <w:basedOn w:val="Normal"/>
    <w:next w:val="Normal"/>
    <w:autoRedefine/>
    <w:semiHidden/>
    <w:rsid w:val="00412534"/>
    <w:pPr>
      <w:ind w:left="600"/>
    </w:pPr>
  </w:style>
  <w:style w:type="paragraph" w:styleId="TDC5">
    <w:name w:val="toc 5"/>
    <w:basedOn w:val="Normal"/>
    <w:next w:val="Normal"/>
    <w:autoRedefine/>
    <w:semiHidden/>
    <w:rsid w:val="00412534"/>
    <w:pPr>
      <w:ind w:left="800"/>
    </w:pPr>
  </w:style>
  <w:style w:type="paragraph" w:styleId="TDC6">
    <w:name w:val="toc 6"/>
    <w:basedOn w:val="Normal"/>
    <w:next w:val="Normal"/>
    <w:autoRedefine/>
    <w:semiHidden/>
    <w:rsid w:val="00412534"/>
    <w:pPr>
      <w:ind w:left="1000"/>
    </w:pPr>
  </w:style>
  <w:style w:type="paragraph" w:styleId="TDC7">
    <w:name w:val="toc 7"/>
    <w:basedOn w:val="Normal"/>
    <w:next w:val="Normal"/>
    <w:autoRedefine/>
    <w:semiHidden/>
    <w:rsid w:val="00412534"/>
    <w:pPr>
      <w:ind w:left="1200"/>
    </w:pPr>
  </w:style>
  <w:style w:type="paragraph" w:styleId="TDC8">
    <w:name w:val="toc 8"/>
    <w:basedOn w:val="Normal"/>
    <w:next w:val="Normal"/>
    <w:autoRedefine/>
    <w:semiHidden/>
    <w:rsid w:val="00412534"/>
    <w:pPr>
      <w:ind w:left="1400"/>
    </w:pPr>
  </w:style>
  <w:style w:type="paragraph" w:styleId="TDC9">
    <w:name w:val="toc 9"/>
    <w:basedOn w:val="Normal"/>
    <w:next w:val="Normal"/>
    <w:autoRedefine/>
    <w:semiHidden/>
    <w:rsid w:val="00412534"/>
    <w:pPr>
      <w:ind w:left="1600"/>
    </w:pPr>
  </w:style>
  <w:style w:type="character" w:styleId="Hipervnculo">
    <w:name w:val="Hyperlink"/>
    <w:basedOn w:val="Fuentedeprrafopredeter"/>
    <w:rsid w:val="00412534"/>
    <w:rPr>
      <w:color w:val="0000FF"/>
      <w:u w:val="single"/>
    </w:rPr>
  </w:style>
  <w:style w:type="paragraph" w:styleId="Textoindependiente">
    <w:name w:val="Body Text"/>
    <w:basedOn w:val="Normal"/>
    <w:rsid w:val="00412534"/>
  </w:style>
  <w:style w:type="paragraph" w:styleId="Textoindependiente2">
    <w:name w:val="Body Text 2"/>
    <w:basedOn w:val="Normal"/>
    <w:rsid w:val="00C17A63"/>
    <w:pPr>
      <w:spacing w:after="120" w:line="480" w:lineRule="auto"/>
    </w:pPr>
  </w:style>
  <w:style w:type="paragraph" w:styleId="Textoindependiente3">
    <w:name w:val="Body Text 3"/>
    <w:basedOn w:val="Normal"/>
    <w:rsid w:val="00057B86"/>
    <w:pPr>
      <w:spacing w:after="120"/>
    </w:pPr>
    <w:rPr>
      <w:sz w:val="16"/>
      <w:szCs w:val="16"/>
    </w:rPr>
  </w:style>
  <w:style w:type="paragraph" w:styleId="Textodebloque">
    <w:name w:val="Block Text"/>
    <w:basedOn w:val="Normal"/>
    <w:rsid w:val="00057B86"/>
    <w:pPr>
      <w:widowControl w:val="0"/>
      <w:ind w:left="284" w:right="283"/>
    </w:pPr>
    <w:rPr>
      <w:sz w:val="16"/>
      <w:lang w:val="es-ES_tradnl"/>
    </w:rPr>
  </w:style>
  <w:style w:type="paragraph" w:customStyle="1" w:styleId="DatosProyecto">
    <w:name w:val="Datos Proyecto"/>
    <w:basedOn w:val="Normal"/>
    <w:rsid w:val="00057B86"/>
    <w:pPr>
      <w:widowControl w:val="0"/>
      <w:spacing w:before="30" w:after="30"/>
    </w:pPr>
    <w:rPr>
      <w:rFonts w:ascii="Arial" w:hAnsi="Arial"/>
      <w:sz w:val="24"/>
      <w:lang w:val="es-ES_tradnl"/>
    </w:rPr>
  </w:style>
  <w:style w:type="table" w:styleId="Tablaconcuadrcula">
    <w:name w:val="Table Grid"/>
    <w:basedOn w:val="Tablanormal"/>
    <w:rsid w:val="00AA4A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cera1">
    <w:name w:val="cabecera1"/>
    <w:basedOn w:val="Fuentedeprrafopredeter"/>
    <w:rsid w:val="007D3E3C"/>
    <w:rPr>
      <w:rFonts w:ascii="Verdana" w:hAnsi="Verdana" w:hint="default"/>
      <w:b/>
      <w:bCs/>
      <w:i w:val="0"/>
      <w:iCs w:val="0"/>
      <w:color w:val="677A92"/>
      <w:sz w:val="24"/>
      <w:szCs w:val="24"/>
    </w:rPr>
  </w:style>
  <w:style w:type="paragraph" w:styleId="Ttulo">
    <w:name w:val="Title"/>
    <w:basedOn w:val="Normal"/>
    <w:qFormat/>
    <w:rsid w:val="00161258"/>
    <w:pPr>
      <w:numPr>
        <w:numId w:val="1"/>
      </w:numPr>
      <w:spacing w:before="240" w:after="60"/>
      <w:jc w:val="center"/>
      <w:outlineLvl w:val="0"/>
    </w:pPr>
    <w:rPr>
      <w:rFonts w:ascii="Arial" w:hAnsi="Arial" w:cs="Arial"/>
      <w:b/>
      <w:bCs/>
      <w:kern w:val="28"/>
      <w:sz w:val="32"/>
      <w:szCs w:val="32"/>
    </w:rPr>
  </w:style>
  <w:style w:type="character" w:styleId="CitaHTML">
    <w:name w:val="HTML Cite"/>
    <w:basedOn w:val="Fuentedeprrafopredeter"/>
    <w:rsid w:val="007D3E3C"/>
    <w:rPr>
      <w:rFonts w:ascii="Verdana" w:hAnsi="Verdana" w:hint="default"/>
      <w:b/>
      <w:bCs/>
      <w:i w:val="0"/>
      <w:iCs w:val="0"/>
      <w:color w:val="75989D"/>
      <w:sz w:val="15"/>
      <w:szCs w:val="15"/>
    </w:rPr>
  </w:style>
  <w:style w:type="character" w:styleId="Textoennegrita">
    <w:name w:val="Strong"/>
    <w:basedOn w:val="Fuentedeprrafopredeter"/>
    <w:qFormat/>
    <w:rsid w:val="005A1405"/>
    <w:rPr>
      <w:b/>
      <w:bCs/>
    </w:rPr>
  </w:style>
  <w:style w:type="character" w:customStyle="1" w:styleId="Seccion">
    <w:name w:val="Seccion"/>
    <w:basedOn w:val="Textoennegrita"/>
    <w:rsid w:val="005A1405"/>
    <w:rPr>
      <w:b/>
      <w:bCs/>
      <w:w w:val="90"/>
      <w:sz w:val="21"/>
      <w:szCs w:val="21"/>
    </w:rPr>
  </w:style>
  <w:style w:type="paragraph" w:customStyle="1" w:styleId="Textoentabla">
    <w:name w:val="Texto en tabla"/>
    <w:basedOn w:val="Normal"/>
    <w:rsid w:val="005A1405"/>
    <w:pPr>
      <w:keepNext/>
      <w:keepLines/>
      <w:spacing w:before="60" w:after="60"/>
    </w:pPr>
    <w:rPr>
      <w:rFonts w:ascii="Arial" w:hAnsi="Arial" w:cs="Arial"/>
      <w:sz w:val="18"/>
      <w:szCs w:val="18"/>
    </w:rPr>
  </w:style>
  <w:style w:type="character" w:customStyle="1" w:styleId="Simbolo">
    <w:name w:val="Simbolo"/>
    <w:basedOn w:val="Fuentedeprrafopredeter"/>
    <w:rsid w:val="005A1405"/>
    <w:rPr>
      <w:rFonts w:ascii="Symbol" w:hAnsi="Symbol" w:cs="Symbol"/>
    </w:rPr>
  </w:style>
  <w:style w:type="paragraph" w:customStyle="1" w:styleId="Rellenartabla">
    <w:name w:val="Rellenar tabla"/>
    <w:basedOn w:val="Textoentabla"/>
    <w:rsid w:val="005A1405"/>
    <w:pPr>
      <w:jc w:val="center"/>
    </w:pPr>
  </w:style>
  <w:style w:type="paragraph" w:customStyle="1" w:styleId="Ttulo4CTE">
    <w:name w:val="Título4CTE"/>
    <w:basedOn w:val="Normal"/>
    <w:next w:val="Normal"/>
    <w:autoRedefine/>
    <w:rsid w:val="006A1F30"/>
    <w:pPr>
      <w:autoSpaceDE w:val="0"/>
      <w:autoSpaceDN w:val="0"/>
      <w:adjustRightInd w:val="0"/>
    </w:pPr>
    <w:rPr>
      <w:rFonts w:ascii="Arial" w:hAnsi="Arial"/>
      <w:b/>
      <w:sz w:val="16"/>
      <w:szCs w:val="16"/>
    </w:rPr>
  </w:style>
  <w:style w:type="paragraph" w:customStyle="1" w:styleId="Estilo1">
    <w:name w:val="Estilo1"/>
    <w:basedOn w:val="Ttulo2"/>
    <w:rsid w:val="008253D4"/>
    <w:pPr>
      <w:numPr>
        <w:ilvl w:val="0"/>
        <w:numId w:val="0"/>
      </w:numPr>
    </w:pPr>
  </w:style>
  <w:style w:type="paragraph" w:customStyle="1" w:styleId="titulo1">
    <w:name w:val="titulo 1"/>
    <w:basedOn w:val="Encabezadodenota"/>
    <w:next w:val="Ttulo2"/>
    <w:rsid w:val="009B0C35"/>
    <w:pPr>
      <w:framePr w:hSpace="142" w:vSpace="142" w:wrap="around" w:vAnchor="text" w:hAnchor="text" w:y="1"/>
      <w:numPr>
        <w:numId w:val="4"/>
      </w:numPr>
    </w:pPr>
    <w:rPr>
      <w:b/>
      <w:shadow/>
      <w:sz w:val="28"/>
      <w:lang w:val="es-ES_tradnl"/>
    </w:rPr>
  </w:style>
  <w:style w:type="paragraph" w:styleId="Encabezadodenota">
    <w:name w:val="Note Heading"/>
    <w:basedOn w:val="Normal"/>
    <w:next w:val="Normal"/>
    <w:rsid w:val="009B0C35"/>
    <w:rPr>
      <w:rFonts w:ascii="Arial" w:hAnsi="Arial"/>
      <w:sz w:val="24"/>
    </w:rPr>
  </w:style>
  <w:style w:type="paragraph" w:customStyle="1" w:styleId="artculoCTE">
    <w:name w:val="artículoCTE"/>
    <w:basedOn w:val="Normal"/>
    <w:next w:val="Normal"/>
    <w:autoRedefine/>
    <w:rsid w:val="009B0C35"/>
    <w:pPr>
      <w:keepNext/>
      <w:spacing w:before="160" w:after="60"/>
      <w:outlineLvl w:val="3"/>
    </w:pPr>
    <w:rPr>
      <w:rFonts w:ascii="Arial" w:hAnsi="Arial"/>
      <w:b/>
    </w:rPr>
  </w:style>
  <w:style w:type="paragraph" w:customStyle="1" w:styleId="H3">
    <w:name w:val="H3"/>
    <w:basedOn w:val="Normal"/>
    <w:next w:val="Normal"/>
    <w:rsid w:val="009B0C35"/>
    <w:pPr>
      <w:keepNext/>
      <w:spacing w:before="100" w:after="100"/>
      <w:outlineLvl w:val="3"/>
    </w:pPr>
    <w:rPr>
      <w:rFonts w:ascii="Times New Roman" w:hAnsi="Times New Roman"/>
      <w:b/>
      <w:snapToGrid w:val="0"/>
      <w:sz w:val="28"/>
      <w:lang w:val="es-ES_tradnl"/>
    </w:rPr>
  </w:style>
  <w:style w:type="paragraph" w:styleId="Textonotapie">
    <w:name w:val="footnote text"/>
    <w:basedOn w:val="Normal"/>
    <w:semiHidden/>
    <w:rsid w:val="009B0C35"/>
    <w:rPr>
      <w:rFonts w:ascii="Times New Roman" w:hAnsi="Times New Roman"/>
    </w:rPr>
  </w:style>
  <w:style w:type="character" w:styleId="Refdenotaalpie">
    <w:name w:val="footnote reference"/>
    <w:basedOn w:val="Fuentedeprrafopredeter"/>
    <w:semiHidden/>
    <w:rsid w:val="009B0C35"/>
    <w:rPr>
      <w:vertAlign w:val="superscript"/>
    </w:rPr>
  </w:style>
  <w:style w:type="character" w:styleId="Hipervnculovisitado">
    <w:name w:val="FollowedHyperlink"/>
    <w:basedOn w:val="Fuentedeprrafopredeter"/>
    <w:rsid w:val="000C3F74"/>
    <w:rPr>
      <w:color w:val="800080"/>
      <w:u w:val="single"/>
    </w:rPr>
  </w:style>
  <w:style w:type="paragraph" w:styleId="Textodeglobo">
    <w:name w:val="Balloon Text"/>
    <w:basedOn w:val="Normal"/>
    <w:link w:val="TextodegloboCar"/>
    <w:uiPriority w:val="99"/>
    <w:semiHidden/>
    <w:unhideWhenUsed/>
    <w:rsid w:val="00A1679F"/>
    <w:rPr>
      <w:rFonts w:ascii="Tahoma" w:hAnsi="Tahoma" w:cs="Tahoma"/>
      <w:sz w:val="16"/>
      <w:szCs w:val="16"/>
    </w:rPr>
  </w:style>
  <w:style w:type="character" w:customStyle="1" w:styleId="TextodegloboCar">
    <w:name w:val="Texto de globo Car"/>
    <w:basedOn w:val="Fuentedeprrafopredeter"/>
    <w:link w:val="Textodeglobo"/>
    <w:uiPriority w:val="99"/>
    <w:semiHidden/>
    <w:rsid w:val="00A1679F"/>
    <w:rPr>
      <w:rFonts w:ascii="Tahoma" w:hAnsi="Tahoma" w:cs="Tahoma"/>
      <w:sz w:val="16"/>
      <w:szCs w:val="16"/>
    </w:rPr>
  </w:style>
  <w:style w:type="paragraph" w:customStyle="1" w:styleId="EstiloTtulo2Antes24ptoDespus0pto">
    <w:name w:val="Estilo Título 2 + Antes:  24 pto Después:  0 pto"/>
    <w:basedOn w:val="Ttulo2"/>
    <w:rsid w:val="00A568FD"/>
    <w:pPr>
      <w:numPr>
        <w:ilvl w:val="0"/>
        <w:numId w:val="0"/>
      </w:numPr>
      <w:pBdr>
        <w:bottom w:val="single" w:sz="8" w:space="1" w:color="FF9900"/>
      </w:pBdr>
      <w:spacing w:before="480" w:after="0"/>
    </w:pPr>
    <w:rPr>
      <w:bCs/>
      <w:szCs w:val="20"/>
    </w:rPr>
  </w:style>
  <w:style w:type="paragraph" w:customStyle="1" w:styleId="EstiloTtulo48pt">
    <w:name w:val="Estilo Título 4 + 8 pt"/>
    <w:basedOn w:val="Ttulo4"/>
    <w:rsid w:val="002B2C68"/>
    <w:pPr>
      <w:numPr>
        <w:ilvl w:val="0"/>
        <w:numId w:val="0"/>
      </w:numPr>
    </w:pPr>
    <w:rPr>
      <w:bCs/>
      <w:sz w:val="18"/>
      <w:szCs w:val="18"/>
    </w:rPr>
  </w:style>
  <w:style w:type="paragraph" w:styleId="Prrafodelista">
    <w:name w:val="List Paragraph"/>
    <w:basedOn w:val="Normal"/>
    <w:uiPriority w:val="34"/>
    <w:qFormat/>
    <w:rsid w:val="00254DE1"/>
    <w:pPr>
      <w:ind w:left="720"/>
      <w:contextualSpacing/>
    </w:pPr>
  </w:style>
  <w:style w:type="character" w:customStyle="1" w:styleId="EncabezadoCar">
    <w:name w:val="Encabezado Car"/>
    <w:basedOn w:val="Fuentedeprrafopredeter"/>
    <w:link w:val="Encabezado"/>
    <w:uiPriority w:val="99"/>
    <w:rsid w:val="00351115"/>
    <w:rPr>
      <w:rFonts w:ascii="Century Gothic" w:hAnsi="Century Gothic"/>
      <w:b/>
      <w:caps/>
      <w:sz w:val="16"/>
    </w:rPr>
  </w:style>
  <w:style w:type="character" w:customStyle="1" w:styleId="PiedepginaCar">
    <w:name w:val="Pie de página Car"/>
    <w:basedOn w:val="Fuentedeprrafopredeter"/>
    <w:link w:val="Piedepgina"/>
    <w:uiPriority w:val="99"/>
    <w:rsid w:val="00351115"/>
    <w:rPr>
      <w:rFonts w:ascii="Century Gothic" w:hAnsi="Century Gothic"/>
    </w:rPr>
  </w:style>
  <w:style w:type="paragraph" w:customStyle="1" w:styleId="TableParagraph">
    <w:name w:val="Table Paragraph"/>
    <w:basedOn w:val="Normal"/>
    <w:uiPriority w:val="1"/>
    <w:qFormat/>
    <w:rsid w:val="00F60B16"/>
    <w:pPr>
      <w:autoSpaceDE w:val="0"/>
      <w:autoSpaceDN w:val="0"/>
      <w:adjustRightInd w:val="0"/>
      <w:jc w:val="left"/>
    </w:pPr>
    <w:rPr>
      <w:rFonts w:ascii="Times New Roman" w:hAnsi="Times New Roman"/>
      <w:sz w:val="24"/>
      <w:szCs w:val="24"/>
    </w:rPr>
  </w:style>
  <w:style w:type="paragraph" w:customStyle="1" w:styleId="Default">
    <w:name w:val="Default"/>
    <w:rsid w:val="0066438B"/>
    <w:pPr>
      <w:autoSpaceDE w:val="0"/>
      <w:autoSpaceDN w:val="0"/>
      <w:adjustRightInd w:val="0"/>
    </w:pPr>
    <w:rPr>
      <w:rFonts w:ascii="Arial" w:hAnsi="Arial" w:cs="Arial"/>
      <w:color w:val="000000"/>
      <w:sz w:val="24"/>
      <w:szCs w:val="24"/>
    </w:rPr>
  </w:style>
  <w:style w:type="paragraph" w:customStyle="1" w:styleId="CAP1">
    <w:name w:val="CAP.1"/>
    <w:basedOn w:val="Normal"/>
    <w:next w:val="Normal"/>
    <w:uiPriority w:val="9"/>
    <w:qFormat/>
    <w:rsid w:val="00331334"/>
    <w:pPr>
      <w:spacing w:before="119" w:after="62"/>
      <w:jc w:val="left"/>
    </w:pPr>
    <w:rPr>
      <w:rFonts w:ascii="Calibri" w:eastAsiaTheme="minorEastAsia" w:hAnsi="Calibri" w:cs="Calibri"/>
      <w:b/>
      <w:sz w:val="30"/>
      <w:szCs w:val="22"/>
    </w:rPr>
  </w:style>
  <w:style w:type="paragraph" w:customStyle="1" w:styleId="CUERPOTEXTO">
    <w:name w:val="CUERPO_TEXTO"/>
    <w:basedOn w:val="Normal"/>
    <w:uiPriority w:val="9"/>
    <w:qFormat/>
    <w:rsid w:val="00C00834"/>
    <w:pPr>
      <w:spacing w:after="120"/>
    </w:pPr>
    <w:rPr>
      <w:rFonts w:ascii="Verdana" w:eastAsiaTheme="minorEastAsia" w:hAnsi="Verdana" w:cs="Verdana"/>
      <w:sz w:val="18"/>
      <w:szCs w:val="22"/>
    </w:rPr>
  </w:style>
  <w:style w:type="paragraph" w:customStyle="1" w:styleId="CUERPOTEXTOTABLA">
    <w:name w:val="CUERPO_TEXTO_TABLA"/>
    <w:basedOn w:val="Normal"/>
    <w:uiPriority w:val="9"/>
    <w:qFormat/>
    <w:rsid w:val="00C00834"/>
    <w:pPr>
      <w:jc w:val="left"/>
    </w:pPr>
    <w:rPr>
      <w:rFonts w:ascii="Verdana" w:eastAsiaTheme="minorEastAsia" w:hAnsi="Verdana" w:cs="Verdana"/>
      <w:sz w:val="18"/>
      <w:szCs w:val="22"/>
    </w:rPr>
  </w:style>
  <w:style w:type="paragraph" w:customStyle="1" w:styleId="CAP2">
    <w:name w:val="CAP.2"/>
    <w:basedOn w:val="Normal"/>
    <w:next w:val="CUERPOTEXTO"/>
    <w:uiPriority w:val="9"/>
    <w:qFormat/>
    <w:rsid w:val="00C00834"/>
    <w:pPr>
      <w:spacing w:before="119" w:after="62"/>
      <w:jc w:val="left"/>
    </w:pPr>
    <w:rPr>
      <w:rFonts w:ascii="Verdana" w:eastAsiaTheme="minorEastAsia" w:hAnsi="Verdana" w:cs="Verdana"/>
      <w:b/>
      <w:szCs w:val="22"/>
    </w:rPr>
  </w:style>
  <w:style w:type="paragraph" w:customStyle="1" w:styleId="CAP3">
    <w:name w:val="CAP.3"/>
    <w:basedOn w:val="Normal"/>
    <w:next w:val="CUERPOTEXTO"/>
    <w:uiPriority w:val="9"/>
    <w:qFormat/>
    <w:rsid w:val="00C00834"/>
    <w:pPr>
      <w:spacing w:before="119" w:after="62"/>
      <w:jc w:val="left"/>
    </w:pPr>
    <w:rPr>
      <w:rFonts w:ascii="Verdana" w:eastAsiaTheme="minorEastAsia" w:hAnsi="Verdana" w:cs="Verdana"/>
      <w:b/>
      <w:sz w:val="18"/>
      <w:szCs w:val="22"/>
    </w:rPr>
  </w:style>
  <w:style w:type="paragraph" w:customStyle="1" w:styleId="INDCAP1">
    <w:name w:val="IND.CAP.1"/>
    <w:basedOn w:val="Normal"/>
    <w:next w:val="CUERPOTEXTO"/>
    <w:uiPriority w:val="9"/>
    <w:qFormat/>
    <w:rsid w:val="00835FC1"/>
    <w:pPr>
      <w:jc w:val="left"/>
    </w:pPr>
    <w:rPr>
      <w:rFonts w:ascii="Verdana" w:eastAsiaTheme="minorEastAsia" w:hAnsi="Verdana" w:cs="Verdana"/>
      <w:b/>
      <w:sz w:val="18"/>
      <w:szCs w:val="22"/>
    </w:rPr>
  </w:style>
  <w:style w:type="paragraph" w:customStyle="1" w:styleId="INDCAP2">
    <w:name w:val="IND.CAP.2"/>
    <w:basedOn w:val="Normal"/>
    <w:next w:val="CUERPOTEXTO"/>
    <w:uiPriority w:val="9"/>
    <w:qFormat/>
    <w:rsid w:val="00835FC1"/>
    <w:pPr>
      <w:jc w:val="left"/>
    </w:pPr>
    <w:rPr>
      <w:rFonts w:ascii="Verdana" w:eastAsiaTheme="minorEastAsia" w:hAnsi="Verdana" w:cs="Verdana"/>
      <w:b/>
      <w:sz w:val="18"/>
      <w:szCs w:val="22"/>
    </w:rPr>
  </w:style>
  <w:style w:type="paragraph" w:customStyle="1" w:styleId="INDCAP3">
    <w:name w:val="IND.CAP.3"/>
    <w:basedOn w:val="Normal"/>
    <w:next w:val="CUERPOTEXTO"/>
    <w:uiPriority w:val="9"/>
    <w:qFormat/>
    <w:rsid w:val="00835FC1"/>
    <w:pPr>
      <w:jc w:val="left"/>
    </w:pPr>
    <w:rPr>
      <w:rFonts w:ascii="Verdana" w:eastAsiaTheme="minorEastAsia" w:hAnsi="Verdana" w:cs="Verdana"/>
      <w:sz w:val="18"/>
      <w:szCs w:val="22"/>
    </w:rPr>
  </w:style>
  <w:style w:type="paragraph" w:customStyle="1" w:styleId="CABEZAPAGtitulo">
    <w:name w:val="CABEZA_PAG_titulo"/>
    <w:basedOn w:val="Normal"/>
    <w:uiPriority w:val="9"/>
    <w:qFormat/>
    <w:rsid w:val="00835FC1"/>
    <w:pPr>
      <w:jc w:val="left"/>
    </w:pPr>
    <w:rPr>
      <w:rFonts w:ascii="Verdana" w:eastAsiaTheme="minorEastAsia" w:hAnsi="Verdana" w:cs="Verdana"/>
      <w:b/>
      <w:sz w:val="30"/>
      <w:szCs w:val="22"/>
    </w:rPr>
  </w:style>
  <w:style w:type="paragraph" w:customStyle="1" w:styleId="CABEZAPAGtexto">
    <w:name w:val="CABEZA_PAG_texto"/>
    <w:basedOn w:val="Normal"/>
    <w:uiPriority w:val="9"/>
    <w:qFormat/>
    <w:rsid w:val="00835FC1"/>
    <w:pPr>
      <w:jc w:val="left"/>
    </w:pPr>
    <w:rPr>
      <w:rFonts w:ascii="Verdana" w:eastAsiaTheme="minorEastAsia" w:hAnsi="Verdana" w:cs="Verdana"/>
      <w:sz w:val="18"/>
      <w:szCs w:val="22"/>
    </w:rPr>
  </w:style>
  <w:style w:type="paragraph" w:customStyle="1" w:styleId="CABEZAPAGfechavalor">
    <w:name w:val="CABEZA_PAG_fecha_valor"/>
    <w:basedOn w:val="Normal"/>
    <w:uiPriority w:val="9"/>
    <w:qFormat/>
    <w:rsid w:val="00835FC1"/>
    <w:pPr>
      <w:jc w:val="left"/>
    </w:pPr>
    <w:rPr>
      <w:rFonts w:ascii="Verdana" w:eastAsiaTheme="minorEastAsia" w:hAnsi="Verdana" w:cs="Verdana"/>
      <w:sz w:val="16"/>
      <w:szCs w:val="22"/>
    </w:rPr>
  </w:style>
  <w:style w:type="paragraph" w:customStyle="1" w:styleId="PIEPAG">
    <w:name w:val="PIE_PAG"/>
    <w:basedOn w:val="Normal"/>
    <w:uiPriority w:val="9"/>
    <w:qFormat/>
    <w:rsid w:val="00835FC1"/>
    <w:pPr>
      <w:jc w:val="right"/>
    </w:pPr>
    <w:rPr>
      <w:rFonts w:ascii="Verdana" w:eastAsiaTheme="minorEastAsia" w:hAnsi="Verdana" w:cs="Verdana"/>
      <w:sz w:val="18"/>
      <w:szCs w:val="22"/>
    </w:rPr>
  </w:style>
</w:styles>
</file>

<file path=word/webSettings.xml><?xml version="1.0" encoding="utf-8"?>
<w:webSettings xmlns:r="http://schemas.openxmlformats.org/officeDocument/2006/relationships" xmlns:w="http://schemas.openxmlformats.org/wordprocessingml/2006/main">
  <w:divs>
    <w:div w:id="58405517">
      <w:bodyDiv w:val="1"/>
      <w:marLeft w:val="0"/>
      <w:marRight w:val="0"/>
      <w:marTop w:val="0"/>
      <w:marBottom w:val="0"/>
      <w:divBdr>
        <w:top w:val="none" w:sz="0" w:space="0" w:color="auto"/>
        <w:left w:val="none" w:sz="0" w:space="0" w:color="auto"/>
        <w:bottom w:val="none" w:sz="0" w:space="0" w:color="auto"/>
        <w:right w:val="none" w:sz="0" w:space="0" w:color="auto"/>
      </w:divBdr>
    </w:div>
    <w:div w:id="339551723">
      <w:bodyDiv w:val="1"/>
      <w:marLeft w:val="0"/>
      <w:marRight w:val="0"/>
      <w:marTop w:val="0"/>
      <w:marBottom w:val="0"/>
      <w:divBdr>
        <w:top w:val="none" w:sz="0" w:space="0" w:color="auto"/>
        <w:left w:val="none" w:sz="0" w:space="0" w:color="auto"/>
        <w:bottom w:val="none" w:sz="0" w:space="0" w:color="auto"/>
        <w:right w:val="none" w:sz="0" w:space="0" w:color="auto"/>
      </w:divBdr>
    </w:div>
    <w:div w:id="738137393">
      <w:bodyDiv w:val="1"/>
      <w:marLeft w:val="0"/>
      <w:marRight w:val="0"/>
      <w:marTop w:val="0"/>
      <w:marBottom w:val="0"/>
      <w:divBdr>
        <w:top w:val="none" w:sz="0" w:space="0" w:color="auto"/>
        <w:left w:val="none" w:sz="0" w:space="0" w:color="auto"/>
        <w:bottom w:val="none" w:sz="0" w:space="0" w:color="auto"/>
        <w:right w:val="none" w:sz="0" w:space="0" w:color="auto"/>
      </w:divBdr>
    </w:div>
    <w:div w:id="756243773">
      <w:bodyDiv w:val="1"/>
      <w:marLeft w:val="0"/>
      <w:marRight w:val="0"/>
      <w:marTop w:val="0"/>
      <w:marBottom w:val="0"/>
      <w:divBdr>
        <w:top w:val="none" w:sz="0" w:space="0" w:color="auto"/>
        <w:left w:val="none" w:sz="0" w:space="0" w:color="auto"/>
        <w:bottom w:val="none" w:sz="0" w:space="0" w:color="auto"/>
        <w:right w:val="none" w:sz="0" w:space="0" w:color="auto"/>
      </w:divBdr>
    </w:div>
    <w:div w:id="768701633">
      <w:bodyDiv w:val="1"/>
      <w:marLeft w:val="0"/>
      <w:marRight w:val="0"/>
      <w:marTop w:val="0"/>
      <w:marBottom w:val="0"/>
      <w:divBdr>
        <w:top w:val="none" w:sz="0" w:space="0" w:color="auto"/>
        <w:left w:val="none" w:sz="0" w:space="0" w:color="auto"/>
        <w:bottom w:val="none" w:sz="0" w:space="0" w:color="auto"/>
        <w:right w:val="none" w:sz="0" w:space="0" w:color="auto"/>
      </w:divBdr>
    </w:div>
    <w:div w:id="872956942">
      <w:bodyDiv w:val="1"/>
      <w:marLeft w:val="0"/>
      <w:marRight w:val="0"/>
      <w:marTop w:val="0"/>
      <w:marBottom w:val="0"/>
      <w:divBdr>
        <w:top w:val="none" w:sz="0" w:space="0" w:color="auto"/>
        <w:left w:val="none" w:sz="0" w:space="0" w:color="auto"/>
        <w:bottom w:val="none" w:sz="0" w:space="0" w:color="auto"/>
        <w:right w:val="none" w:sz="0" w:space="0" w:color="auto"/>
      </w:divBdr>
    </w:div>
    <w:div w:id="900558303">
      <w:bodyDiv w:val="1"/>
      <w:marLeft w:val="0"/>
      <w:marRight w:val="0"/>
      <w:marTop w:val="0"/>
      <w:marBottom w:val="0"/>
      <w:divBdr>
        <w:top w:val="none" w:sz="0" w:space="0" w:color="auto"/>
        <w:left w:val="none" w:sz="0" w:space="0" w:color="auto"/>
        <w:bottom w:val="none" w:sz="0" w:space="0" w:color="auto"/>
        <w:right w:val="none" w:sz="0" w:space="0" w:color="auto"/>
      </w:divBdr>
    </w:div>
    <w:div w:id="937296028">
      <w:bodyDiv w:val="1"/>
      <w:marLeft w:val="0"/>
      <w:marRight w:val="0"/>
      <w:marTop w:val="0"/>
      <w:marBottom w:val="0"/>
      <w:divBdr>
        <w:top w:val="none" w:sz="0" w:space="0" w:color="auto"/>
        <w:left w:val="none" w:sz="0" w:space="0" w:color="auto"/>
        <w:bottom w:val="none" w:sz="0" w:space="0" w:color="auto"/>
        <w:right w:val="none" w:sz="0" w:space="0" w:color="auto"/>
      </w:divBdr>
    </w:div>
    <w:div w:id="950086179">
      <w:bodyDiv w:val="1"/>
      <w:marLeft w:val="0"/>
      <w:marRight w:val="0"/>
      <w:marTop w:val="0"/>
      <w:marBottom w:val="0"/>
      <w:divBdr>
        <w:top w:val="none" w:sz="0" w:space="0" w:color="auto"/>
        <w:left w:val="none" w:sz="0" w:space="0" w:color="auto"/>
        <w:bottom w:val="none" w:sz="0" w:space="0" w:color="auto"/>
        <w:right w:val="none" w:sz="0" w:space="0" w:color="auto"/>
      </w:divBdr>
    </w:div>
    <w:div w:id="1253779644">
      <w:bodyDiv w:val="1"/>
      <w:marLeft w:val="0"/>
      <w:marRight w:val="0"/>
      <w:marTop w:val="0"/>
      <w:marBottom w:val="0"/>
      <w:divBdr>
        <w:top w:val="none" w:sz="0" w:space="0" w:color="auto"/>
        <w:left w:val="none" w:sz="0" w:space="0" w:color="auto"/>
        <w:bottom w:val="none" w:sz="0" w:space="0" w:color="auto"/>
        <w:right w:val="none" w:sz="0" w:space="0" w:color="auto"/>
      </w:divBdr>
    </w:div>
    <w:div w:id="1308897379">
      <w:bodyDiv w:val="1"/>
      <w:marLeft w:val="0"/>
      <w:marRight w:val="0"/>
      <w:marTop w:val="0"/>
      <w:marBottom w:val="0"/>
      <w:divBdr>
        <w:top w:val="none" w:sz="0" w:space="0" w:color="auto"/>
        <w:left w:val="none" w:sz="0" w:space="0" w:color="auto"/>
        <w:bottom w:val="none" w:sz="0" w:space="0" w:color="auto"/>
        <w:right w:val="none" w:sz="0" w:space="0" w:color="auto"/>
      </w:divBdr>
    </w:div>
    <w:div w:id="1470055043">
      <w:bodyDiv w:val="1"/>
      <w:marLeft w:val="0"/>
      <w:marRight w:val="0"/>
      <w:marTop w:val="0"/>
      <w:marBottom w:val="0"/>
      <w:divBdr>
        <w:top w:val="none" w:sz="0" w:space="0" w:color="auto"/>
        <w:left w:val="none" w:sz="0" w:space="0" w:color="auto"/>
        <w:bottom w:val="none" w:sz="0" w:space="0" w:color="auto"/>
        <w:right w:val="none" w:sz="0" w:space="0" w:color="auto"/>
      </w:divBdr>
    </w:div>
    <w:div w:id="1683823521">
      <w:bodyDiv w:val="1"/>
      <w:marLeft w:val="0"/>
      <w:marRight w:val="0"/>
      <w:marTop w:val="0"/>
      <w:marBottom w:val="0"/>
      <w:divBdr>
        <w:top w:val="none" w:sz="0" w:space="0" w:color="auto"/>
        <w:left w:val="none" w:sz="0" w:space="0" w:color="auto"/>
        <w:bottom w:val="none" w:sz="0" w:space="0" w:color="auto"/>
        <w:right w:val="none" w:sz="0" w:space="0" w:color="auto"/>
      </w:divBdr>
    </w:div>
    <w:div w:id="1772895510">
      <w:bodyDiv w:val="1"/>
      <w:marLeft w:val="0"/>
      <w:marRight w:val="0"/>
      <w:marTop w:val="0"/>
      <w:marBottom w:val="0"/>
      <w:divBdr>
        <w:top w:val="none" w:sz="0" w:space="0" w:color="auto"/>
        <w:left w:val="none" w:sz="0" w:space="0" w:color="auto"/>
        <w:bottom w:val="none" w:sz="0" w:space="0" w:color="auto"/>
        <w:right w:val="none" w:sz="0" w:space="0" w:color="auto"/>
      </w:divBdr>
    </w:div>
    <w:div w:id="1775901218">
      <w:bodyDiv w:val="1"/>
      <w:marLeft w:val="0"/>
      <w:marRight w:val="0"/>
      <w:marTop w:val="0"/>
      <w:marBottom w:val="0"/>
      <w:divBdr>
        <w:top w:val="none" w:sz="0" w:space="0" w:color="auto"/>
        <w:left w:val="none" w:sz="0" w:space="0" w:color="auto"/>
        <w:bottom w:val="none" w:sz="0" w:space="0" w:color="auto"/>
        <w:right w:val="none" w:sz="0" w:space="0" w:color="auto"/>
      </w:divBdr>
    </w:div>
    <w:div w:id="1778208770">
      <w:bodyDiv w:val="1"/>
      <w:marLeft w:val="0"/>
      <w:marRight w:val="0"/>
      <w:marTop w:val="0"/>
      <w:marBottom w:val="0"/>
      <w:divBdr>
        <w:top w:val="none" w:sz="0" w:space="0" w:color="auto"/>
        <w:left w:val="none" w:sz="0" w:space="0" w:color="auto"/>
        <w:bottom w:val="none" w:sz="0" w:space="0" w:color="auto"/>
        <w:right w:val="none" w:sz="0" w:space="0" w:color="auto"/>
      </w:divBdr>
    </w:div>
    <w:div w:id="1822959222">
      <w:bodyDiv w:val="1"/>
      <w:marLeft w:val="0"/>
      <w:marRight w:val="0"/>
      <w:marTop w:val="0"/>
      <w:marBottom w:val="0"/>
      <w:divBdr>
        <w:top w:val="none" w:sz="0" w:space="0" w:color="auto"/>
        <w:left w:val="none" w:sz="0" w:space="0" w:color="auto"/>
        <w:bottom w:val="none" w:sz="0" w:space="0" w:color="auto"/>
        <w:right w:val="none" w:sz="0" w:space="0" w:color="auto"/>
      </w:divBdr>
    </w:div>
    <w:div w:id="1890066186">
      <w:bodyDiv w:val="1"/>
      <w:marLeft w:val="0"/>
      <w:marRight w:val="0"/>
      <w:marTop w:val="0"/>
      <w:marBottom w:val="0"/>
      <w:divBdr>
        <w:top w:val="none" w:sz="0" w:space="0" w:color="auto"/>
        <w:left w:val="none" w:sz="0" w:space="0" w:color="auto"/>
        <w:bottom w:val="none" w:sz="0" w:space="0" w:color="auto"/>
        <w:right w:val="none" w:sz="0" w:space="0" w:color="auto"/>
      </w:divBdr>
    </w:div>
    <w:div w:id="1893421114">
      <w:bodyDiv w:val="1"/>
      <w:marLeft w:val="0"/>
      <w:marRight w:val="0"/>
      <w:marTop w:val="0"/>
      <w:marBottom w:val="0"/>
      <w:divBdr>
        <w:top w:val="none" w:sz="0" w:space="0" w:color="auto"/>
        <w:left w:val="none" w:sz="0" w:space="0" w:color="auto"/>
        <w:bottom w:val="none" w:sz="0" w:space="0" w:color="auto"/>
        <w:right w:val="none" w:sz="0" w:space="0" w:color="auto"/>
      </w:divBdr>
    </w:div>
    <w:div w:id="212048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Office\Dictdoc.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43D7D-5EBA-4F94-A5C4-8B6180F2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Dictdoc.dot</Template>
  <TotalTime>7</TotalTime>
  <Pages>15</Pages>
  <Words>5302</Words>
  <Characters>29165</Characters>
  <Application>Microsoft Office Word</Application>
  <DocSecurity>0</DocSecurity>
  <Lines>243</Lines>
  <Paragraphs>68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MEMORIA</vt:lpstr>
      <vt:lpstr>MEMORIA</vt:lpstr>
    </vt:vector>
  </TitlesOfParts>
  <Company>A+A arquitectos</Company>
  <LinksUpToDate>false</LinksUpToDate>
  <CharactersWithSpaces>34399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dc:title>
  <dc:creator>Jorge Álvarez González</dc:creator>
  <cp:lastModifiedBy>Ekipo</cp:lastModifiedBy>
  <cp:revision>3</cp:revision>
  <cp:lastPrinted>2015-11-09T16:20:00Z</cp:lastPrinted>
  <dcterms:created xsi:type="dcterms:W3CDTF">2019-09-02T18:29:00Z</dcterms:created>
  <dcterms:modified xsi:type="dcterms:W3CDTF">2019-11-10T19:55:00Z</dcterms:modified>
</cp:coreProperties>
</file>